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1" w:firstLineChars="200"/>
        <w:jc w:val="center"/>
        <w:outlineLvl w:val="0"/>
        <w:rPr>
          <w:sz w:val="36"/>
          <w:szCs w:val="36"/>
        </w:rPr>
      </w:pPr>
      <w:bookmarkStart w:id="0" w:name="_Toc32251"/>
      <w:bookmarkStart w:id="1" w:name="_Toc20326"/>
      <w:bookmarkStart w:id="2" w:name="_Toc25221"/>
      <w:bookmarkStart w:id="3" w:name="_Toc30530"/>
      <w:bookmarkStart w:id="4" w:name="_Toc22573_WPSOffice_Level1"/>
      <w:bookmarkStart w:id="5" w:name="_Toc25783"/>
      <w:r>
        <w:rPr>
          <w:rStyle w:val="16"/>
        </w:rPr>
        <w:t xml:space="preserve"> 采购需求</w:t>
      </w:r>
      <w:bookmarkEnd w:id="0"/>
      <w:bookmarkEnd w:id="1"/>
      <w:bookmarkEnd w:id="2"/>
      <w:bookmarkEnd w:id="3"/>
      <w:bookmarkEnd w:id="4"/>
      <w:bookmarkEnd w:id="5"/>
    </w:p>
    <w:p>
      <w:pPr>
        <w:widowControl/>
        <w:autoSpaceDE w:val="0"/>
        <w:autoSpaceDN w:val="0"/>
        <w:adjustRightInd w:val="0"/>
        <w:snapToGrid w:val="0"/>
        <w:outlineLvl w:val="1"/>
        <w:rPr>
          <w:rFonts w:hAnsi="宋体"/>
          <w:b/>
          <w:szCs w:val="20"/>
        </w:rPr>
      </w:pPr>
      <w:r>
        <w:rPr>
          <w:rFonts w:hint="eastAsia" w:ascii="宋体" w:hAnsi="宋体"/>
          <w:b/>
          <w:snapToGrid w:val="0"/>
          <w:color w:val="000000"/>
          <w:kern w:val="0"/>
          <w:szCs w:val="20"/>
          <w:lang w:bidi="ar"/>
        </w:rPr>
        <w:t>一、项目名称</w:t>
      </w:r>
    </w:p>
    <w:p>
      <w:pPr>
        <w:pStyle w:val="17"/>
        <w:ind w:firstLine="480"/>
      </w:pPr>
      <w:r>
        <w:rPr>
          <w:rFonts w:hint="eastAsia"/>
          <w:lang w:val="en-US" w:eastAsia="zh-CN"/>
        </w:rPr>
        <w:t>海南西部中心医院</w:t>
      </w:r>
      <w:r>
        <w:rPr>
          <w:rFonts w:hint="eastAsia"/>
        </w:rPr>
        <w:t>202</w:t>
      </w:r>
      <w:r>
        <w:rPr>
          <w:rFonts w:hint="eastAsia"/>
          <w:lang w:val="en-US" w:eastAsia="zh-CN"/>
        </w:rPr>
        <w:t>6</w:t>
      </w:r>
      <w:r>
        <w:rPr>
          <w:rFonts w:hint="eastAsia"/>
        </w:rPr>
        <w:t>年度网络安全等级保护测评服务项目</w:t>
      </w:r>
    </w:p>
    <w:p>
      <w:pPr>
        <w:widowControl/>
        <w:autoSpaceDE w:val="0"/>
        <w:autoSpaceDN w:val="0"/>
        <w:adjustRightInd w:val="0"/>
        <w:snapToGrid w:val="0"/>
        <w:outlineLvl w:val="1"/>
        <w:rPr>
          <w:rFonts w:hint="eastAsia" w:ascii="宋体" w:hAnsi="宋体"/>
          <w:b/>
          <w:snapToGrid w:val="0"/>
          <w:color w:val="000000"/>
          <w:kern w:val="0"/>
          <w:szCs w:val="20"/>
          <w:lang w:bidi="ar"/>
        </w:rPr>
      </w:pPr>
      <w:r>
        <w:rPr>
          <w:rFonts w:hint="eastAsia" w:ascii="宋体" w:hAnsi="宋体"/>
          <w:b/>
          <w:snapToGrid w:val="0"/>
          <w:color w:val="000000"/>
          <w:kern w:val="0"/>
          <w:szCs w:val="20"/>
          <w:lang w:bidi="ar"/>
        </w:rPr>
        <w:t>二、</w:t>
      </w:r>
      <w:r>
        <w:rPr>
          <w:rFonts w:hint="eastAsia" w:ascii="宋体" w:hAnsi="宋体"/>
          <w:b/>
          <w:snapToGrid w:val="0"/>
          <w:color w:val="000000"/>
          <w:kern w:val="0"/>
          <w:szCs w:val="20"/>
          <w:lang w:val="en-US" w:eastAsia="zh-CN" w:bidi="ar"/>
        </w:rPr>
        <w:t>预算</w:t>
      </w:r>
      <w:r>
        <w:rPr>
          <w:rFonts w:hint="eastAsia" w:ascii="宋体" w:hAnsi="宋体"/>
          <w:b/>
          <w:snapToGrid w:val="0"/>
          <w:color w:val="000000"/>
          <w:kern w:val="0"/>
          <w:szCs w:val="20"/>
          <w:lang w:bidi="ar"/>
        </w:rPr>
        <w:t>金额</w:t>
      </w:r>
    </w:p>
    <w:p>
      <w:pPr>
        <w:pStyle w:val="17"/>
        <w:ind w:firstLine="480"/>
        <w:rPr>
          <w:rFonts w:hint="eastAsia"/>
        </w:rPr>
      </w:pPr>
      <w:r>
        <w:rPr>
          <w:rFonts w:hint="eastAsia"/>
          <w:color w:val="000000"/>
        </w:rPr>
        <w:t>2</w:t>
      </w:r>
      <w:r>
        <w:rPr>
          <w:rFonts w:hint="eastAsia"/>
          <w:color w:val="000000"/>
          <w:lang w:val="en-US" w:eastAsia="zh-CN"/>
        </w:rPr>
        <w:t>60</w:t>
      </w:r>
      <w:r>
        <w:rPr>
          <w:rFonts w:hint="eastAsia"/>
          <w:color w:val="000000"/>
        </w:rPr>
        <w:t>000.00元</w:t>
      </w:r>
      <w:r>
        <w:rPr>
          <w:rFonts w:hint="eastAsia"/>
        </w:rPr>
        <w:t>整</w:t>
      </w:r>
    </w:p>
    <w:p>
      <w:pPr>
        <w:widowControl/>
        <w:autoSpaceDE w:val="0"/>
        <w:autoSpaceDN w:val="0"/>
        <w:adjustRightInd w:val="0"/>
        <w:snapToGrid w:val="0"/>
        <w:outlineLvl w:val="1"/>
        <w:rPr>
          <w:rFonts w:hAnsi="宋体"/>
          <w:b/>
          <w:szCs w:val="20"/>
        </w:rPr>
      </w:pPr>
      <w:r>
        <w:rPr>
          <w:rFonts w:hint="eastAsia" w:ascii="宋体" w:hAnsi="宋体"/>
          <w:b/>
          <w:snapToGrid w:val="0"/>
          <w:color w:val="000000"/>
          <w:kern w:val="0"/>
          <w:szCs w:val="20"/>
          <w:lang w:bidi="ar"/>
        </w:rPr>
        <w:t>三、合同履行期限</w:t>
      </w:r>
    </w:p>
    <w:p>
      <w:pPr>
        <w:pStyle w:val="17"/>
        <w:ind w:firstLine="480"/>
        <w:rPr>
          <w:rFonts w:hint="default" w:eastAsia="宋体"/>
          <w:lang w:val="en-US" w:eastAsia="zh-CN"/>
        </w:rPr>
      </w:pPr>
      <w:r>
        <w:rPr>
          <w:rFonts w:hint="eastAsia"/>
        </w:rPr>
        <w:t>合同</w:t>
      </w:r>
      <w:r>
        <w:rPr>
          <w:rFonts w:hint="eastAsia"/>
          <w:lang w:val="en-US" w:eastAsia="zh-CN"/>
        </w:rPr>
        <w:t>签订且后60个工作日内完成</w:t>
      </w:r>
    </w:p>
    <w:p>
      <w:pPr>
        <w:widowControl/>
        <w:autoSpaceDE w:val="0"/>
        <w:autoSpaceDN w:val="0"/>
        <w:adjustRightInd w:val="0"/>
        <w:snapToGrid w:val="0"/>
        <w:outlineLvl w:val="1"/>
        <w:rPr>
          <w:rFonts w:hAnsi="宋体"/>
          <w:b/>
          <w:szCs w:val="20"/>
        </w:rPr>
      </w:pPr>
      <w:r>
        <w:rPr>
          <w:rFonts w:hint="eastAsia" w:ascii="宋体" w:hAnsi="宋体"/>
          <w:b/>
          <w:snapToGrid w:val="0"/>
          <w:color w:val="000000"/>
          <w:kern w:val="0"/>
          <w:szCs w:val="20"/>
          <w:lang w:bidi="ar"/>
        </w:rPr>
        <w:t>四、</w:t>
      </w:r>
      <w:bookmarkStart w:id="6" w:name="_Toc325379381"/>
      <w:bookmarkStart w:id="7" w:name="_Toc322893667"/>
      <w:r>
        <w:rPr>
          <w:rFonts w:hint="eastAsia" w:ascii="宋体" w:hAnsi="宋体"/>
          <w:b/>
          <w:snapToGrid w:val="0"/>
          <w:color w:val="000000"/>
          <w:kern w:val="0"/>
          <w:szCs w:val="20"/>
          <w:lang w:bidi="ar"/>
        </w:rPr>
        <w:t>项目背景</w:t>
      </w:r>
      <w:bookmarkEnd w:id="6"/>
      <w:bookmarkEnd w:id="7"/>
    </w:p>
    <w:p>
      <w:pPr>
        <w:pStyle w:val="17"/>
        <w:ind w:firstLine="480"/>
        <w:jc w:val="both"/>
        <w:rPr>
          <w:rFonts w:hint="eastAsia"/>
        </w:rPr>
      </w:pPr>
      <w:r>
        <w:rPr>
          <w:rFonts w:hint="eastAsia"/>
        </w:rPr>
        <w:t>依据《中华人民共和国网络安全法》、《关于进一步加强信息安全等级保护工作的通知》（琼等保办[</w:t>
      </w:r>
      <w:bookmarkStart w:id="26" w:name="_GoBack"/>
      <w:bookmarkEnd w:id="26"/>
      <w:r>
        <w:rPr>
          <w:rFonts w:hint="eastAsia"/>
        </w:rPr>
        <w:t>2013]2号）、《海南省信息化条例》、信息技术服务管理体系等文件的要求规定和建议，需委托具备资质的等保测评机构，对信息系统进行等级测评。</w:t>
      </w:r>
    </w:p>
    <w:p>
      <w:pPr>
        <w:widowControl/>
        <w:autoSpaceDE w:val="0"/>
        <w:autoSpaceDN w:val="0"/>
        <w:adjustRightInd w:val="0"/>
        <w:snapToGrid w:val="0"/>
        <w:outlineLvl w:val="1"/>
        <w:rPr>
          <w:rFonts w:hAnsi="宋体"/>
          <w:b/>
          <w:szCs w:val="20"/>
        </w:rPr>
      </w:pPr>
      <w:r>
        <w:rPr>
          <w:rFonts w:hint="eastAsia" w:ascii="宋体" w:hAnsi="宋体"/>
          <w:b/>
          <w:snapToGrid w:val="0"/>
          <w:color w:val="000000"/>
          <w:kern w:val="0"/>
          <w:szCs w:val="20"/>
          <w:lang w:bidi="ar"/>
        </w:rPr>
        <w:t>五、服务目标</w:t>
      </w:r>
    </w:p>
    <w:p>
      <w:pPr>
        <w:widowControl/>
        <w:autoSpaceDE w:val="0"/>
        <w:autoSpaceDN w:val="0"/>
        <w:adjustRightInd w:val="0"/>
        <w:snapToGrid w:val="0"/>
        <w:ind w:firstLine="484" w:firstLineChars="202"/>
        <w:rPr>
          <w:rFonts w:hint="eastAsia" w:ascii="宋体" w:hAnsi="宋体"/>
          <w:snapToGrid w:val="0"/>
          <w:color w:val="000000"/>
          <w:kern w:val="0"/>
          <w:szCs w:val="20"/>
          <w:lang w:bidi="ar"/>
        </w:rPr>
      </w:pPr>
      <w:r>
        <w:rPr>
          <w:rFonts w:hint="eastAsia" w:ascii="宋体" w:hAnsi="宋体"/>
          <w:snapToGrid w:val="0"/>
          <w:color w:val="000000"/>
          <w:kern w:val="0"/>
          <w:szCs w:val="20"/>
          <w:lang w:bidi="ar"/>
        </w:rPr>
        <w:t>通过网络安全等级保护测评服务，对本单位运行的信息系统开展符合性测评，衡量信息系统的安全保护管理措施和技术防护措施是否符合等级保护基本要求，是否具备了相应的安全保护能力。找出问题，针对性的制定整改措施，推进信息安全防护体系不断完善。</w:t>
      </w:r>
    </w:p>
    <w:p>
      <w:pPr>
        <w:widowControl/>
        <w:autoSpaceDE w:val="0"/>
        <w:autoSpaceDN w:val="0"/>
        <w:adjustRightInd w:val="0"/>
        <w:snapToGrid w:val="0"/>
        <w:outlineLvl w:val="1"/>
        <w:rPr>
          <w:rFonts w:hAnsi="宋体"/>
          <w:b/>
          <w:szCs w:val="20"/>
        </w:rPr>
      </w:pPr>
      <w:r>
        <w:rPr>
          <w:rFonts w:hint="eastAsia" w:ascii="宋体" w:hAnsi="宋体"/>
          <w:b/>
          <w:snapToGrid w:val="0"/>
          <w:color w:val="000000"/>
          <w:kern w:val="0"/>
          <w:szCs w:val="20"/>
          <w:lang w:bidi="ar"/>
        </w:rPr>
        <w:t>六、服务依据</w:t>
      </w:r>
    </w:p>
    <w:p>
      <w:pPr>
        <w:widowControl/>
        <w:autoSpaceDE w:val="0"/>
        <w:autoSpaceDN w:val="0"/>
        <w:adjustRightInd w:val="0"/>
        <w:snapToGrid w:val="0"/>
        <w:ind w:firstLine="484" w:firstLineChars="202"/>
        <w:rPr>
          <w:rFonts w:hAnsi="宋体"/>
          <w:szCs w:val="20"/>
        </w:rPr>
      </w:pPr>
      <w:r>
        <w:rPr>
          <w:rFonts w:hint="eastAsia" w:ascii="宋体" w:hAnsi="宋体"/>
          <w:snapToGrid w:val="0"/>
          <w:color w:val="000000"/>
          <w:kern w:val="0"/>
          <w:szCs w:val="20"/>
          <w:lang w:bidi="ar"/>
        </w:rPr>
        <w:t>项目主要依据但不限于以下相关的法规政策、标准及规范：</w:t>
      </w:r>
    </w:p>
    <w:p>
      <w:pPr>
        <w:pStyle w:val="18"/>
        <w:widowControl/>
        <w:numPr>
          <w:ilvl w:val="0"/>
          <w:numId w:val="1"/>
        </w:numPr>
        <w:adjustRightInd w:val="0"/>
        <w:snapToGrid w:val="0"/>
        <w:spacing w:line="360" w:lineRule="auto"/>
        <w:ind w:firstLineChars="0"/>
        <w:jc w:val="left"/>
        <w:rPr>
          <w:rFonts w:hint="eastAsia" w:ascii="宋体" w:hAnsi="宋体" w:cs="宋体"/>
          <w:kern w:val="0"/>
          <w:sz w:val="24"/>
        </w:rPr>
      </w:pPr>
      <w:r>
        <w:rPr>
          <w:rFonts w:hint="eastAsia" w:ascii="宋体" w:hAnsi="宋体" w:cs="宋体"/>
          <w:kern w:val="0"/>
          <w:sz w:val="24"/>
        </w:rPr>
        <w:t>《中华人民共和国网络安全法》（第十二届全国人大常委会2016年11月7日通过，自2017年6月1日起施行。）</w:t>
      </w:r>
    </w:p>
    <w:p>
      <w:pPr>
        <w:pStyle w:val="18"/>
        <w:widowControl/>
        <w:numPr>
          <w:ilvl w:val="0"/>
          <w:numId w:val="1"/>
        </w:numPr>
        <w:adjustRightInd w:val="0"/>
        <w:snapToGrid w:val="0"/>
        <w:spacing w:line="360" w:lineRule="auto"/>
        <w:ind w:firstLineChars="0"/>
        <w:jc w:val="left"/>
        <w:rPr>
          <w:rFonts w:hint="eastAsia" w:ascii="宋体" w:hAnsi="宋体" w:cs="宋体"/>
          <w:kern w:val="0"/>
          <w:sz w:val="24"/>
        </w:rPr>
      </w:pPr>
      <w:r>
        <w:rPr>
          <w:rFonts w:hint="eastAsia" w:ascii="宋体" w:hAnsi="宋体" w:cs="宋体"/>
          <w:kern w:val="0"/>
          <w:sz w:val="24"/>
        </w:rPr>
        <w:t>《海南省信息化管理条例》（海南省第五届人大常委会2013年9月25日通过，自2013年11月1日起施行。）</w:t>
      </w:r>
    </w:p>
    <w:p>
      <w:pPr>
        <w:pStyle w:val="18"/>
        <w:widowControl/>
        <w:numPr>
          <w:ilvl w:val="0"/>
          <w:numId w:val="1"/>
        </w:numPr>
        <w:adjustRightInd w:val="0"/>
        <w:snapToGrid w:val="0"/>
        <w:spacing w:line="360" w:lineRule="auto"/>
        <w:ind w:firstLineChars="0"/>
        <w:jc w:val="left"/>
        <w:rPr>
          <w:rFonts w:hint="eastAsia" w:ascii="宋体" w:hAnsi="宋体" w:cs="宋体"/>
          <w:kern w:val="0"/>
          <w:sz w:val="24"/>
        </w:rPr>
      </w:pPr>
      <w:r>
        <w:rPr>
          <w:rFonts w:hint="eastAsia" w:ascii="宋体" w:hAnsi="宋体" w:cs="宋体"/>
          <w:kern w:val="0"/>
          <w:sz w:val="24"/>
        </w:rPr>
        <w:t>《计算机信息系统安全保护等级划分准则》（GB 17859-1999）</w:t>
      </w:r>
    </w:p>
    <w:p>
      <w:pPr>
        <w:pStyle w:val="18"/>
        <w:widowControl/>
        <w:numPr>
          <w:ilvl w:val="0"/>
          <w:numId w:val="1"/>
        </w:numPr>
        <w:adjustRightInd w:val="0"/>
        <w:snapToGrid w:val="0"/>
        <w:spacing w:line="360" w:lineRule="auto"/>
        <w:ind w:firstLineChars="0"/>
        <w:jc w:val="left"/>
        <w:rPr>
          <w:rFonts w:hint="eastAsia" w:ascii="宋体" w:hAnsi="宋体" w:cs="宋体"/>
          <w:kern w:val="0"/>
          <w:sz w:val="24"/>
        </w:rPr>
      </w:pPr>
      <w:r>
        <w:rPr>
          <w:rFonts w:hint="eastAsia" w:ascii="宋体" w:hAnsi="宋体" w:cs="宋体"/>
          <w:kern w:val="0"/>
          <w:sz w:val="24"/>
        </w:rPr>
        <w:t>《信息安全技术 网络安全等级保护定级指南》（GB/T 22240-2020）</w:t>
      </w:r>
    </w:p>
    <w:p>
      <w:pPr>
        <w:pStyle w:val="18"/>
        <w:widowControl/>
        <w:numPr>
          <w:ilvl w:val="0"/>
          <w:numId w:val="1"/>
        </w:numPr>
        <w:adjustRightInd w:val="0"/>
        <w:snapToGrid w:val="0"/>
        <w:spacing w:line="360" w:lineRule="auto"/>
        <w:ind w:firstLineChars="0"/>
        <w:jc w:val="left"/>
        <w:rPr>
          <w:rFonts w:hint="eastAsia" w:ascii="宋体" w:hAnsi="宋体" w:cs="宋体"/>
          <w:kern w:val="0"/>
          <w:sz w:val="24"/>
        </w:rPr>
      </w:pPr>
      <w:r>
        <w:rPr>
          <w:rFonts w:hint="eastAsia" w:ascii="宋体" w:hAnsi="宋体" w:cs="宋体"/>
          <w:kern w:val="0"/>
          <w:sz w:val="24"/>
        </w:rPr>
        <w:t>《信息安全技术 网络安全等级保护基本要求》（GB/T 22239-2019）</w:t>
      </w:r>
    </w:p>
    <w:p>
      <w:pPr>
        <w:pStyle w:val="18"/>
        <w:widowControl/>
        <w:numPr>
          <w:ilvl w:val="0"/>
          <w:numId w:val="1"/>
        </w:numPr>
        <w:adjustRightInd w:val="0"/>
        <w:snapToGrid w:val="0"/>
        <w:spacing w:line="360" w:lineRule="auto"/>
        <w:ind w:firstLineChars="0"/>
        <w:jc w:val="left"/>
        <w:rPr>
          <w:rFonts w:hint="eastAsia" w:ascii="宋体" w:hAnsi="宋体" w:cs="宋体"/>
          <w:kern w:val="0"/>
          <w:sz w:val="24"/>
        </w:rPr>
      </w:pPr>
      <w:r>
        <w:rPr>
          <w:rFonts w:hint="eastAsia" w:ascii="宋体" w:hAnsi="宋体" w:cs="宋体"/>
          <w:kern w:val="0"/>
          <w:sz w:val="24"/>
        </w:rPr>
        <w:t>《信息安全技术 网络安全等级保护测评要求》（GB/T 28448-2019）</w:t>
      </w:r>
    </w:p>
    <w:p>
      <w:pPr>
        <w:pStyle w:val="18"/>
        <w:widowControl/>
        <w:numPr>
          <w:ilvl w:val="0"/>
          <w:numId w:val="1"/>
        </w:numPr>
        <w:adjustRightInd w:val="0"/>
        <w:snapToGrid w:val="0"/>
        <w:spacing w:line="360" w:lineRule="auto"/>
        <w:ind w:firstLineChars="0"/>
        <w:jc w:val="left"/>
        <w:rPr>
          <w:rFonts w:hint="eastAsia" w:ascii="宋体" w:hAnsi="宋体" w:cs="宋体"/>
          <w:kern w:val="0"/>
          <w:sz w:val="24"/>
        </w:rPr>
      </w:pPr>
      <w:r>
        <w:rPr>
          <w:rFonts w:hint="eastAsia" w:ascii="宋体" w:hAnsi="宋体" w:cs="宋体"/>
          <w:kern w:val="0"/>
          <w:sz w:val="24"/>
        </w:rPr>
        <w:t>《信息安全技术 网络安全等级保护测评过程指南》（GB/T 28449-2018）</w:t>
      </w:r>
    </w:p>
    <w:p>
      <w:pPr>
        <w:pStyle w:val="18"/>
        <w:widowControl/>
        <w:numPr>
          <w:ilvl w:val="0"/>
          <w:numId w:val="1"/>
        </w:numPr>
        <w:adjustRightInd w:val="0"/>
        <w:snapToGrid w:val="0"/>
        <w:spacing w:line="360" w:lineRule="auto"/>
        <w:ind w:firstLineChars="0"/>
        <w:jc w:val="left"/>
        <w:rPr>
          <w:rFonts w:hint="eastAsia" w:ascii="宋体" w:hAnsi="宋体" w:cs="宋体"/>
          <w:kern w:val="0"/>
          <w:sz w:val="24"/>
        </w:rPr>
      </w:pPr>
      <w:r>
        <w:rPr>
          <w:rFonts w:hint="eastAsia" w:ascii="宋体" w:hAnsi="宋体" w:cs="宋体"/>
          <w:kern w:val="0"/>
          <w:sz w:val="24"/>
        </w:rPr>
        <w:t>《信息技术 安全技术 信息技术安全评估准则》（GB/T 18336.2-2015）</w:t>
      </w:r>
    </w:p>
    <w:p>
      <w:pPr>
        <w:pStyle w:val="18"/>
        <w:widowControl/>
        <w:numPr>
          <w:ilvl w:val="0"/>
          <w:numId w:val="1"/>
        </w:numPr>
        <w:adjustRightInd w:val="0"/>
        <w:snapToGrid w:val="0"/>
        <w:spacing w:line="360" w:lineRule="auto"/>
        <w:ind w:firstLineChars="0"/>
        <w:jc w:val="left"/>
        <w:rPr>
          <w:rFonts w:hint="eastAsia" w:ascii="宋体" w:hAnsi="宋体" w:cs="宋体"/>
          <w:kern w:val="0"/>
          <w:sz w:val="24"/>
        </w:rPr>
      </w:pPr>
      <w:r>
        <w:rPr>
          <w:rFonts w:hint="eastAsia" w:ascii="宋体" w:hAnsi="宋体" w:cs="宋体"/>
          <w:kern w:val="0"/>
          <w:sz w:val="24"/>
        </w:rPr>
        <w:t>《信息安全技术 信息安全风险评估实施指南》（GB/T 31509-2015）</w:t>
      </w:r>
    </w:p>
    <w:p>
      <w:pPr>
        <w:pStyle w:val="18"/>
        <w:widowControl/>
        <w:numPr>
          <w:ilvl w:val="0"/>
          <w:numId w:val="1"/>
        </w:numPr>
        <w:adjustRightInd w:val="0"/>
        <w:snapToGrid w:val="0"/>
        <w:spacing w:line="360" w:lineRule="auto"/>
        <w:ind w:firstLineChars="0"/>
        <w:jc w:val="left"/>
        <w:rPr>
          <w:rFonts w:hint="eastAsia" w:ascii="宋体" w:hAnsi="宋体" w:cs="宋体"/>
          <w:kern w:val="0"/>
          <w:sz w:val="24"/>
        </w:rPr>
      </w:pPr>
      <w:r>
        <w:rPr>
          <w:rFonts w:hint="eastAsia" w:ascii="宋体" w:hAnsi="宋体" w:cs="宋体"/>
          <w:kern w:val="0"/>
          <w:sz w:val="24"/>
        </w:rPr>
        <w:t>《信息安全技术 信息安全风险管理指南》（GB/Z 24364-2009）</w:t>
      </w:r>
    </w:p>
    <w:p>
      <w:pPr>
        <w:widowControl/>
        <w:autoSpaceDE w:val="0"/>
        <w:autoSpaceDN w:val="0"/>
        <w:adjustRightInd w:val="0"/>
        <w:snapToGrid w:val="0"/>
        <w:ind w:firstLine="484" w:firstLineChars="202"/>
        <w:rPr>
          <w:rFonts w:hint="eastAsia" w:ascii="宋体" w:hAnsi="宋体"/>
          <w:snapToGrid w:val="0"/>
          <w:color w:val="000000"/>
          <w:kern w:val="0"/>
          <w:szCs w:val="20"/>
          <w:lang w:bidi="ar"/>
        </w:rPr>
      </w:pPr>
    </w:p>
    <w:p>
      <w:pPr>
        <w:widowControl/>
        <w:autoSpaceDE w:val="0"/>
        <w:autoSpaceDN w:val="0"/>
        <w:adjustRightInd w:val="0"/>
        <w:snapToGrid w:val="0"/>
        <w:outlineLvl w:val="1"/>
        <w:rPr>
          <w:rFonts w:hAnsi="宋体"/>
          <w:b/>
          <w:szCs w:val="20"/>
        </w:rPr>
      </w:pPr>
      <w:r>
        <w:rPr>
          <w:rFonts w:hint="eastAsia" w:ascii="宋体" w:hAnsi="宋体"/>
          <w:b/>
          <w:snapToGrid w:val="0"/>
          <w:color w:val="000000"/>
          <w:kern w:val="0"/>
          <w:szCs w:val="20"/>
          <w:lang w:bidi="ar"/>
        </w:rPr>
        <w:t>七、项目内容</w:t>
      </w:r>
    </w:p>
    <w:p>
      <w:pPr>
        <w:widowControl/>
        <w:autoSpaceDE w:val="0"/>
        <w:autoSpaceDN w:val="0"/>
        <w:adjustRightInd w:val="0"/>
        <w:snapToGrid w:val="0"/>
        <w:ind w:firstLine="484" w:firstLineChars="202"/>
        <w:rPr>
          <w:rFonts w:hAnsi="宋体"/>
          <w:szCs w:val="20"/>
        </w:rPr>
      </w:pPr>
      <w:r>
        <w:rPr>
          <w:rFonts w:hint="eastAsia" w:ascii="宋体" w:hAnsi="宋体"/>
          <w:snapToGrid w:val="0"/>
          <w:color w:val="000000"/>
          <w:kern w:val="0"/>
          <w:szCs w:val="20"/>
          <w:lang w:bidi="ar"/>
        </w:rPr>
        <w:t>通过委托专业信息安全等级测评服务机构，根据网络安全等级保护2.0标准等相关文件及标准要求，针对正在运行的信息系统实施网络安全等级保护测评，明细如下：</w:t>
      </w:r>
    </w:p>
    <w:tbl>
      <w:tblPr>
        <w:tblStyle w:val="12"/>
        <w:tblW w:w="4997"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53"/>
        <w:gridCol w:w="2091"/>
        <w:gridCol w:w="4225"/>
        <w:gridCol w:w="1448"/>
      </w:tblGrid>
      <w:tr>
        <w:tc>
          <w:tcPr>
            <w:tcW w:w="442" w:type="pct"/>
            <w:tcBorders>
              <w:top w:val="single" w:color="auto" w:sz="12" w:space="0"/>
              <w:left w:val="single" w:color="auto" w:sz="12" w:space="0"/>
              <w:bottom w:val="single" w:color="auto" w:sz="2" w:space="0"/>
              <w:right w:val="single" w:color="auto" w:sz="2" w:space="0"/>
            </w:tcBorders>
            <w:noWrap w:val="0"/>
            <w:vAlign w:val="center"/>
          </w:tcPr>
          <w:p>
            <w:pPr>
              <w:widowControl/>
              <w:autoSpaceDE w:val="0"/>
              <w:autoSpaceDN w:val="0"/>
              <w:adjustRightInd w:val="0"/>
              <w:snapToGrid w:val="0"/>
              <w:jc w:val="center"/>
              <w:rPr>
                <w:rFonts w:hAnsi="宋体"/>
                <w:b/>
                <w:bCs/>
                <w:szCs w:val="20"/>
              </w:rPr>
            </w:pPr>
            <w:bookmarkStart w:id="8" w:name="_Hlk71530581"/>
            <w:bookmarkStart w:id="9" w:name="_Toc369188901"/>
            <w:r>
              <w:rPr>
                <w:rFonts w:hint="eastAsia" w:ascii="宋体" w:hAnsi="宋体"/>
                <w:b/>
                <w:bCs/>
                <w:snapToGrid w:val="0"/>
                <w:color w:val="000000"/>
                <w:kern w:val="0"/>
                <w:szCs w:val="20"/>
                <w:lang w:bidi="ar"/>
              </w:rPr>
              <w:t>序号</w:t>
            </w:r>
          </w:p>
        </w:tc>
        <w:tc>
          <w:tcPr>
            <w:tcW w:w="1227" w:type="pct"/>
            <w:tcBorders>
              <w:top w:val="single" w:color="auto" w:sz="12" w:space="0"/>
              <w:left w:val="single" w:color="auto" w:sz="2" w:space="0"/>
              <w:bottom w:val="single" w:color="auto" w:sz="2" w:space="0"/>
              <w:right w:val="single" w:color="auto" w:sz="2" w:space="0"/>
            </w:tcBorders>
            <w:noWrap w:val="0"/>
            <w:vAlign w:val="center"/>
          </w:tcPr>
          <w:p>
            <w:pPr>
              <w:widowControl/>
              <w:autoSpaceDE w:val="0"/>
              <w:autoSpaceDN w:val="0"/>
              <w:adjustRightInd w:val="0"/>
              <w:snapToGrid w:val="0"/>
              <w:jc w:val="center"/>
              <w:rPr>
                <w:rFonts w:hAnsi="宋体"/>
                <w:b/>
                <w:bCs/>
                <w:szCs w:val="20"/>
              </w:rPr>
            </w:pPr>
            <w:r>
              <w:rPr>
                <w:rFonts w:hint="eastAsia" w:ascii="宋体" w:hAnsi="宋体"/>
                <w:b/>
                <w:bCs/>
                <w:snapToGrid w:val="0"/>
                <w:color w:val="000000"/>
                <w:kern w:val="0"/>
                <w:szCs w:val="20"/>
                <w:lang w:bidi="ar"/>
              </w:rPr>
              <w:t>服务名称</w:t>
            </w:r>
          </w:p>
        </w:tc>
        <w:tc>
          <w:tcPr>
            <w:tcW w:w="2480" w:type="pct"/>
            <w:tcBorders>
              <w:top w:val="single" w:color="auto" w:sz="12" w:space="0"/>
              <w:left w:val="single" w:color="auto" w:sz="2" w:space="0"/>
              <w:bottom w:val="single" w:color="auto" w:sz="2" w:space="0"/>
              <w:right w:val="single" w:color="auto" w:sz="12" w:space="0"/>
            </w:tcBorders>
            <w:noWrap w:val="0"/>
            <w:vAlign w:val="center"/>
          </w:tcPr>
          <w:p>
            <w:pPr>
              <w:widowControl/>
              <w:autoSpaceDE w:val="0"/>
              <w:autoSpaceDN w:val="0"/>
              <w:adjustRightInd w:val="0"/>
              <w:snapToGrid w:val="0"/>
              <w:jc w:val="center"/>
              <w:rPr>
                <w:rFonts w:hAnsi="宋体" w:eastAsia="仿宋"/>
                <w:b/>
                <w:bCs/>
                <w:szCs w:val="20"/>
              </w:rPr>
            </w:pPr>
            <w:r>
              <w:rPr>
                <w:rFonts w:hint="eastAsia" w:hAnsi="宋体"/>
                <w:b/>
                <w:bCs/>
                <w:szCs w:val="20"/>
              </w:rPr>
              <w:t>服务内容</w:t>
            </w:r>
          </w:p>
        </w:tc>
        <w:tc>
          <w:tcPr>
            <w:tcW w:w="850" w:type="pct"/>
            <w:tcBorders>
              <w:top w:val="single" w:color="auto" w:sz="12" w:space="0"/>
              <w:left w:val="single" w:color="auto" w:sz="2" w:space="0"/>
              <w:bottom w:val="single" w:color="auto" w:sz="2" w:space="0"/>
              <w:right w:val="single" w:color="auto" w:sz="12" w:space="0"/>
            </w:tcBorders>
            <w:noWrap w:val="0"/>
            <w:vAlign w:val="center"/>
          </w:tcPr>
          <w:p>
            <w:pPr>
              <w:widowControl/>
              <w:autoSpaceDE w:val="0"/>
              <w:autoSpaceDN w:val="0"/>
              <w:adjustRightInd w:val="0"/>
              <w:snapToGrid w:val="0"/>
              <w:jc w:val="center"/>
              <w:rPr>
                <w:rFonts w:hint="eastAsia" w:hAnsi="宋体"/>
                <w:b/>
                <w:bCs/>
                <w:szCs w:val="20"/>
              </w:rPr>
            </w:pPr>
            <w:r>
              <w:rPr>
                <w:rFonts w:hint="eastAsia" w:hAnsi="宋体"/>
                <w:b/>
                <w:bCs/>
                <w:szCs w:val="20"/>
              </w:rPr>
              <w:t>频次</w:t>
            </w:r>
          </w:p>
        </w:tc>
      </w:tr>
      <w:tr>
        <w:trPr>
          <w:trHeight w:val="724" w:hRule="atLeast"/>
        </w:trPr>
        <w:tc>
          <w:tcPr>
            <w:tcW w:w="442" w:type="pct"/>
            <w:tcBorders>
              <w:top w:val="single" w:color="auto" w:sz="2" w:space="0"/>
              <w:left w:val="single" w:color="auto" w:sz="12" w:space="0"/>
              <w:bottom w:val="single" w:color="auto" w:sz="2" w:space="0"/>
              <w:right w:val="single" w:color="auto" w:sz="2" w:space="0"/>
            </w:tcBorders>
            <w:noWrap w:val="0"/>
            <w:vAlign w:val="center"/>
          </w:tcPr>
          <w:p>
            <w:pPr>
              <w:pStyle w:val="19"/>
              <w:jc w:val="center"/>
            </w:pPr>
            <w:r>
              <w:rPr>
                <w:rFonts w:hint="eastAsia"/>
              </w:rPr>
              <w:t>1</w:t>
            </w:r>
          </w:p>
        </w:tc>
        <w:tc>
          <w:tcPr>
            <w:tcW w:w="1227" w:type="pct"/>
            <w:tcBorders>
              <w:top w:val="single" w:color="auto" w:sz="2" w:space="0"/>
              <w:left w:val="single" w:color="auto" w:sz="2" w:space="0"/>
              <w:bottom w:val="single" w:color="auto" w:sz="2" w:space="0"/>
              <w:right w:val="single" w:color="auto" w:sz="2" w:space="0"/>
            </w:tcBorders>
            <w:noWrap w:val="0"/>
            <w:vAlign w:val="center"/>
          </w:tcPr>
          <w:p>
            <w:pPr>
              <w:pStyle w:val="19"/>
            </w:pPr>
            <w:r>
              <w:rPr>
                <w:rFonts w:hint="eastAsia"/>
              </w:rPr>
              <w:t>网络安全等级保护测评</w:t>
            </w:r>
          </w:p>
        </w:tc>
        <w:tc>
          <w:tcPr>
            <w:tcW w:w="2480" w:type="pct"/>
            <w:tcBorders>
              <w:top w:val="single" w:color="auto" w:sz="2" w:space="0"/>
              <w:left w:val="single" w:color="auto" w:sz="2" w:space="0"/>
              <w:bottom w:val="single" w:color="auto" w:sz="2" w:space="0"/>
              <w:right w:val="single" w:color="auto" w:sz="12" w:space="0"/>
            </w:tcBorders>
            <w:noWrap w:val="0"/>
            <w:vAlign w:val="center"/>
          </w:tcPr>
          <w:p>
            <w:pPr>
              <w:pStyle w:val="19"/>
            </w:pPr>
            <w:r>
              <w:rPr>
                <w:rFonts w:hint="eastAsia"/>
                <w:lang w:val="en-US" w:eastAsia="zh-CN"/>
              </w:rPr>
              <w:t>针对我单位核心业务系统、集成平台、互联网医院系统等3</w:t>
            </w:r>
            <w:r>
              <w:rPr>
                <w:rFonts w:hint="eastAsia"/>
              </w:rPr>
              <w:t>个三级系统和</w:t>
            </w:r>
            <w:r>
              <w:rPr>
                <w:rFonts w:hint="eastAsia"/>
                <w:lang w:val="en-US" w:eastAsia="zh-CN"/>
              </w:rPr>
              <w:t>门户网站1</w:t>
            </w:r>
            <w:r>
              <w:rPr>
                <w:rFonts w:hint="eastAsia"/>
              </w:rPr>
              <w:t xml:space="preserve"> 个二级系统</w:t>
            </w:r>
            <w:r>
              <w:rPr>
                <w:rFonts w:hint="eastAsia"/>
                <w:lang w:val="en-US" w:eastAsia="zh-CN"/>
              </w:rPr>
              <w:t>按照三级</w:t>
            </w:r>
            <w:r>
              <w:rPr>
                <w:rFonts w:hint="default"/>
                <w:lang w:val="en-US" w:eastAsia="zh-CN"/>
              </w:rPr>
              <w:t>S3A3G3</w:t>
            </w:r>
            <w:r>
              <w:rPr>
                <w:rFonts w:hint="eastAsia"/>
                <w:lang w:val="en-US" w:eastAsia="zh-CN"/>
              </w:rPr>
              <w:t>和二级</w:t>
            </w:r>
            <w:r>
              <w:rPr>
                <w:rFonts w:hint="default"/>
                <w:lang w:val="en-US" w:eastAsia="zh-CN"/>
              </w:rPr>
              <w:t>S2A2G2</w:t>
            </w:r>
            <w:r>
              <w:rPr>
                <w:rFonts w:hint="eastAsia"/>
                <w:lang w:val="en-US" w:eastAsia="zh-CN"/>
              </w:rPr>
              <w:t>的标准</w:t>
            </w:r>
            <w:r>
              <w:rPr>
                <w:rFonts w:hint="eastAsia"/>
              </w:rPr>
              <w:t>开展测评服务工作</w:t>
            </w:r>
          </w:p>
        </w:tc>
        <w:tc>
          <w:tcPr>
            <w:tcW w:w="850" w:type="pct"/>
            <w:tcBorders>
              <w:top w:val="single" w:color="auto" w:sz="2" w:space="0"/>
              <w:left w:val="single" w:color="auto" w:sz="2" w:space="0"/>
              <w:bottom w:val="single" w:color="auto" w:sz="2" w:space="0"/>
              <w:right w:val="single" w:color="auto" w:sz="12" w:space="0"/>
            </w:tcBorders>
            <w:noWrap w:val="0"/>
            <w:vAlign w:val="center"/>
          </w:tcPr>
          <w:p>
            <w:pPr>
              <w:pStyle w:val="19"/>
              <w:jc w:val="center"/>
              <w:rPr>
                <w:rFonts w:hint="eastAsia"/>
              </w:rPr>
            </w:pPr>
            <w:r>
              <w:rPr>
                <w:rFonts w:hint="eastAsia"/>
              </w:rPr>
              <w:t>1次/年</w:t>
            </w:r>
          </w:p>
        </w:tc>
      </w:tr>
      <w:bookmarkEnd w:id="8"/>
    </w:tbl>
    <w:p>
      <w:pPr>
        <w:widowControl/>
        <w:autoSpaceDE w:val="0"/>
        <w:autoSpaceDN w:val="0"/>
        <w:adjustRightInd w:val="0"/>
        <w:snapToGrid w:val="0"/>
        <w:rPr>
          <w:rFonts w:hAnsi="宋体"/>
          <w:b/>
          <w:szCs w:val="20"/>
        </w:rPr>
      </w:pPr>
    </w:p>
    <w:p>
      <w:pPr>
        <w:widowControl/>
        <w:autoSpaceDE w:val="0"/>
        <w:autoSpaceDN w:val="0"/>
        <w:adjustRightInd w:val="0"/>
        <w:snapToGrid w:val="0"/>
        <w:outlineLvl w:val="2"/>
        <w:rPr>
          <w:rFonts w:hAnsi="宋体"/>
          <w:b/>
        </w:rPr>
      </w:pPr>
      <w:r>
        <w:rPr>
          <w:rFonts w:hint="eastAsia" w:ascii="宋体" w:hAnsi="宋体"/>
          <w:b/>
          <w:snapToGrid w:val="0"/>
          <w:color w:val="000000"/>
          <w:kern w:val="0"/>
          <w:lang w:bidi="ar"/>
        </w:rPr>
        <w:t>7.1、</w:t>
      </w:r>
      <w:r>
        <w:rPr>
          <w:rFonts w:hint="eastAsia"/>
          <w:b/>
        </w:rPr>
        <w:t>网络安全等级保护测评</w:t>
      </w:r>
    </w:p>
    <w:p>
      <w:pPr>
        <w:widowControl/>
        <w:autoSpaceDE w:val="0"/>
        <w:autoSpaceDN w:val="0"/>
        <w:adjustRightInd w:val="0"/>
        <w:snapToGrid w:val="0"/>
        <w:ind w:firstLine="540" w:firstLineChars="225"/>
        <w:rPr>
          <w:rFonts w:hAnsi="宋体" w:cs="宋体"/>
          <w:szCs w:val="20"/>
        </w:rPr>
      </w:pPr>
      <w:r>
        <w:rPr>
          <w:rFonts w:hint="eastAsia" w:ascii="宋体" w:hAnsi="宋体" w:cs="宋体"/>
          <w:snapToGrid w:val="0"/>
          <w:color w:val="000000"/>
          <w:kern w:val="0"/>
          <w:szCs w:val="20"/>
          <w:lang w:bidi="ar"/>
        </w:rPr>
        <w:t>依据网络安全等级保护2.0标准等相关文件及标准要求，对各信息系统的安全技术体系和安全管理体系等进行合规性检查，出具《网络安全等级保护测评报告》，并提出具有针对性的整改建议。</w:t>
      </w:r>
    </w:p>
    <w:p>
      <w:pPr>
        <w:widowControl/>
        <w:autoSpaceDE w:val="0"/>
        <w:autoSpaceDN w:val="0"/>
        <w:adjustRightInd w:val="0"/>
        <w:snapToGrid w:val="0"/>
        <w:ind w:firstLine="480" w:firstLineChars="200"/>
        <w:rPr>
          <w:rFonts w:hAnsi="宋体" w:cs="宋体"/>
          <w:szCs w:val="20"/>
        </w:rPr>
      </w:pPr>
      <w:r>
        <w:rPr>
          <w:rFonts w:hint="eastAsia" w:ascii="宋体" w:hAnsi="宋体" w:cs="宋体"/>
          <w:snapToGrid w:val="0"/>
          <w:color w:val="000000"/>
          <w:kern w:val="0"/>
          <w:szCs w:val="20"/>
          <w:lang w:bidi="ar"/>
        </w:rPr>
        <w:t>1）测评内容</w:t>
      </w:r>
    </w:p>
    <w:p>
      <w:pPr>
        <w:widowControl/>
        <w:autoSpaceDE w:val="0"/>
        <w:autoSpaceDN w:val="0"/>
        <w:adjustRightInd w:val="0"/>
        <w:snapToGrid w:val="0"/>
        <w:ind w:firstLine="420"/>
        <w:rPr>
          <w:rFonts w:hAnsi="宋体" w:cs="宋体"/>
          <w:szCs w:val="20"/>
        </w:rPr>
      </w:pPr>
      <w:r>
        <w:rPr>
          <w:rFonts w:hint="eastAsia" w:ascii="宋体" w:hAnsi="宋体" w:cs="宋体"/>
          <w:snapToGrid w:val="0"/>
          <w:color w:val="000000"/>
          <w:kern w:val="0"/>
          <w:szCs w:val="20"/>
          <w:lang w:bidi="ar"/>
        </w:rPr>
        <w:t>（1）对本单位已备案信息系统进行摸底、分析和梳理，提出详细的等保测评方案。</w:t>
      </w:r>
    </w:p>
    <w:p>
      <w:pPr>
        <w:widowControl/>
        <w:autoSpaceDE w:val="0"/>
        <w:autoSpaceDN w:val="0"/>
        <w:adjustRightInd w:val="0"/>
        <w:snapToGrid w:val="0"/>
        <w:ind w:firstLine="420"/>
        <w:rPr>
          <w:rFonts w:hAnsi="宋体" w:cs="宋体"/>
          <w:szCs w:val="20"/>
        </w:rPr>
      </w:pPr>
      <w:r>
        <w:rPr>
          <w:rFonts w:hint="eastAsia" w:ascii="宋体" w:hAnsi="宋体" w:cs="宋体"/>
          <w:snapToGrid w:val="0"/>
          <w:color w:val="000000"/>
          <w:kern w:val="0"/>
          <w:szCs w:val="20"/>
          <w:lang w:bidi="ar"/>
        </w:rPr>
        <w:t>（2）逐一对信息系统进行安全等级保护测评，测评的内容包括但不限于以下内容：</w:t>
      </w:r>
    </w:p>
    <w:p>
      <w:pPr>
        <w:widowControl/>
        <w:autoSpaceDE w:val="0"/>
        <w:autoSpaceDN w:val="0"/>
        <w:adjustRightInd w:val="0"/>
        <w:snapToGrid w:val="0"/>
        <w:ind w:firstLine="540" w:firstLineChars="225"/>
        <w:rPr>
          <w:rFonts w:hAnsi="宋体" w:cs="宋体"/>
          <w:szCs w:val="20"/>
        </w:rPr>
      </w:pPr>
      <w:r>
        <w:rPr>
          <w:rFonts w:hint="eastAsia" w:ascii="宋体" w:hAnsi="宋体" w:cs="宋体"/>
          <w:snapToGrid w:val="0"/>
          <w:color w:val="000000"/>
          <w:kern w:val="0"/>
          <w:szCs w:val="20"/>
          <w:lang w:bidi="ar"/>
        </w:rPr>
        <w:t>①  安全技术测评：包括安全物理环境、安全通信网络、安全区域边界、 安全计算环境、安全管理中心五个方面的安全测评；</w:t>
      </w:r>
    </w:p>
    <w:p>
      <w:pPr>
        <w:widowControl/>
        <w:autoSpaceDE w:val="0"/>
        <w:autoSpaceDN w:val="0"/>
        <w:adjustRightInd w:val="0"/>
        <w:snapToGrid w:val="0"/>
        <w:ind w:firstLine="540" w:firstLineChars="225"/>
        <w:rPr>
          <w:rFonts w:hAnsi="宋体" w:cs="宋体"/>
          <w:szCs w:val="20"/>
        </w:rPr>
      </w:pPr>
      <w:r>
        <w:rPr>
          <w:rFonts w:hint="eastAsia" w:ascii="宋体" w:hAnsi="宋体" w:cs="宋体"/>
          <w:snapToGrid w:val="0"/>
          <w:color w:val="000000"/>
          <w:kern w:val="0"/>
          <w:szCs w:val="20"/>
          <w:lang w:bidi="ar"/>
        </w:rPr>
        <w:t>②  安全管理测评：安全管理机构、安全管理制度、安全管理人员、安全建设管理和安全运维管理五个方面的安全测评。</w:t>
      </w:r>
    </w:p>
    <w:p>
      <w:pPr>
        <w:widowControl/>
        <w:autoSpaceDE w:val="0"/>
        <w:autoSpaceDN w:val="0"/>
        <w:adjustRightInd w:val="0"/>
        <w:snapToGrid w:val="0"/>
        <w:ind w:firstLine="480" w:firstLineChars="200"/>
        <w:rPr>
          <w:rFonts w:hAnsi="宋体" w:cs="宋体"/>
          <w:szCs w:val="20"/>
        </w:rPr>
      </w:pPr>
      <w:r>
        <w:rPr>
          <w:rFonts w:hint="eastAsia" w:ascii="宋体" w:hAnsi="宋体" w:cs="宋体"/>
          <w:snapToGrid w:val="0"/>
          <w:color w:val="000000"/>
          <w:kern w:val="0"/>
          <w:szCs w:val="20"/>
          <w:lang w:bidi="ar"/>
        </w:rPr>
        <w:t>（3）完成测评工作后，提出整改建议；最后出具符合公安部门要求的信息系统安全保护等级测评报告，并在后期整改实施过程中提供全程咨询服务。</w:t>
      </w:r>
    </w:p>
    <w:p>
      <w:pPr>
        <w:widowControl/>
        <w:autoSpaceDE w:val="0"/>
        <w:autoSpaceDN w:val="0"/>
        <w:adjustRightInd w:val="0"/>
        <w:snapToGrid w:val="0"/>
        <w:ind w:firstLine="540" w:firstLineChars="225"/>
        <w:rPr>
          <w:rFonts w:hAnsi="宋体" w:cs="宋体"/>
          <w:szCs w:val="20"/>
        </w:rPr>
      </w:pPr>
      <w:r>
        <w:rPr>
          <w:rFonts w:hint="eastAsia" w:ascii="宋体" w:hAnsi="宋体" w:cs="宋体"/>
          <w:snapToGrid w:val="0"/>
          <w:color w:val="000000"/>
          <w:kern w:val="0"/>
          <w:szCs w:val="20"/>
          <w:lang w:bidi="ar"/>
        </w:rPr>
        <w:t>2）测评实施</w:t>
      </w:r>
    </w:p>
    <w:p>
      <w:pPr>
        <w:widowControl/>
        <w:autoSpaceDE w:val="0"/>
        <w:autoSpaceDN w:val="0"/>
        <w:adjustRightInd w:val="0"/>
        <w:snapToGrid w:val="0"/>
        <w:ind w:firstLine="540" w:firstLineChars="225"/>
        <w:rPr>
          <w:rFonts w:hAnsi="宋体" w:cs="宋体"/>
          <w:szCs w:val="20"/>
        </w:rPr>
      </w:pPr>
      <w:r>
        <w:rPr>
          <w:rFonts w:hint="eastAsia" w:ascii="宋体" w:hAnsi="宋体" w:cs="宋体"/>
          <w:snapToGrid w:val="0"/>
          <w:color w:val="000000"/>
          <w:kern w:val="0"/>
          <w:szCs w:val="20"/>
          <w:lang w:bidi="ar"/>
        </w:rPr>
        <w:t>测评项目过程需按照《网络安全等级保护测评过程指南》开展工作，等级测评过程分为四个基本测评活动：测评准备活动、方案编制活动、现场测评活动、分析及报告编制活动。测评双方之间的沟通与洽谈应贯穿整个等级测评过程。</w:t>
      </w:r>
    </w:p>
    <w:p>
      <w:pPr>
        <w:widowControl/>
        <w:autoSpaceDE w:val="0"/>
        <w:autoSpaceDN w:val="0"/>
        <w:adjustRightInd w:val="0"/>
        <w:snapToGrid w:val="0"/>
        <w:ind w:firstLine="480" w:firstLineChars="200"/>
        <w:rPr>
          <w:rFonts w:hAnsi="宋体" w:cs="宋体"/>
          <w:szCs w:val="20"/>
        </w:rPr>
      </w:pPr>
      <w:bookmarkStart w:id="10" w:name="_Toc316920801"/>
      <w:r>
        <w:rPr>
          <w:rFonts w:hint="eastAsia" w:ascii="宋体" w:hAnsi="宋体" w:cs="宋体"/>
          <w:snapToGrid w:val="0"/>
          <w:color w:val="000000"/>
          <w:kern w:val="0"/>
          <w:szCs w:val="20"/>
          <w:lang w:bidi="ar"/>
        </w:rPr>
        <w:t>（1）测评准备</w:t>
      </w:r>
      <w:bookmarkEnd w:id="10"/>
      <w:r>
        <w:rPr>
          <w:rFonts w:hint="eastAsia" w:ascii="宋体" w:hAnsi="宋体" w:cs="宋体"/>
          <w:snapToGrid w:val="0"/>
          <w:color w:val="000000"/>
          <w:kern w:val="0"/>
          <w:szCs w:val="20"/>
          <w:lang w:bidi="ar"/>
        </w:rPr>
        <w:t>活动</w:t>
      </w:r>
    </w:p>
    <w:p>
      <w:pPr>
        <w:widowControl/>
        <w:autoSpaceDE w:val="0"/>
        <w:autoSpaceDN w:val="0"/>
        <w:adjustRightInd w:val="0"/>
        <w:snapToGrid w:val="0"/>
        <w:ind w:firstLine="540" w:firstLineChars="225"/>
        <w:rPr>
          <w:rFonts w:hAnsi="宋体" w:cs="宋体"/>
          <w:szCs w:val="20"/>
        </w:rPr>
      </w:pPr>
      <w:r>
        <w:rPr>
          <w:rFonts w:hint="eastAsia" w:ascii="宋体" w:hAnsi="宋体" w:cs="宋体"/>
          <w:snapToGrid w:val="0"/>
          <w:color w:val="000000"/>
          <w:kern w:val="0"/>
          <w:szCs w:val="20"/>
          <w:lang w:bidi="ar"/>
        </w:rPr>
        <w:t>测评准备工作包括编制项目启动、信息收集和分析、工具和表单准备。详细要求见下表：</w:t>
      </w:r>
    </w:p>
    <w:tbl>
      <w:tblPr>
        <w:tblStyle w:val="12"/>
        <w:tblW w:w="83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4"/>
        <w:gridCol w:w="4140"/>
        <w:gridCol w:w="2646"/>
      </w:tblGrid>
      <w:tr>
        <w:trPr>
          <w:jc w:val="center"/>
        </w:trPr>
        <w:tc>
          <w:tcPr>
            <w:tcW w:w="1544"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widowControl/>
              <w:autoSpaceDE w:val="0"/>
              <w:autoSpaceDN w:val="0"/>
              <w:adjustRightInd w:val="0"/>
              <w:spacing w:line="340" w:lineRule="exact"/>
              <w:jc w:val="center"/>
              <w:rPr>
                <w:rFonts w:hAnsi="宋体"/>
                <w:b/>
                <w:szCs w:val="20"/>
              </w:rPr>
            </w:pPr>
            <w:r>
              <w:rPr>
                <w:rFonts w:hint="eastAsia" w:ascii="宋体" w:hAnsi="宋体"/>
                <w:b/>
                <w:snapToGrid w:val="0"/>
                <w:color w:val="000000"/>
                <w:kern w:val="0"/>
                <w:szCs w:val="20"/>
                <w:lang w:bidi="ar"/>
              </w:rPr>
              <w:t>项目内容</w:t>
            </w:r>
          </w:p>
        </w:tc>
        <w:tc>
          <w:tcPr>
            <w:tcW w:w="4140"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widowControl/>
              <w:autoSpaceDE w:val="0"/>
              <w:autoSpaceDN w:val="0"/>
              <w:adjustRightInd w:val="0"/>
              <w:spacing w:line="340" w:lineRule="exact"/>
              <w:jc w:val="center"/>
              <w:rPr>
                <w:rFonts w:hAnsi="宋体"/>
                <w:b/>
                <w:szCs w:val="20"/>
              </w:rPr>
            </w:pPr>
            <w:r>
              <w:rPr>
                <w:rFonts w:hint="eastAsia" w:ascii="宋体" w:hAnsi="宋体"/>
                <w:b/>
                <w:snapToGrid w:val="0"/>
                <w:color w:val="000000"/>
                <w:kern w:val="0"/>
                <w:szCs w:val="20"/>
                <w:lang w:bidi="ar"/>
              </w:rPr>
              <w:t>工作内容</w:t>
            </w:r>
          </w:p>
        </w:tc>
        <w:tc>
          <w:tcPr>
            <w:tcW w:w="2646"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widowControl/>
              <w:autoSpaceDE w:val="0"/>
              <w:autoSpaceDN w:val="0"/>
              <w:adjustRightInd w:val="0"/>
              <w:spacing w:line="340" w:lineRule="exact"/>
              <w:jc w:val="center"/>
              <w:rPr>
                <w:rFonts w:hAnsi="宋体"/>
                <w:b/>
                <w:szCs w:val="20"/>
              </w:rPr>
            </w:pPr>
            <w:r>
              <w:rPr>
                <w:rFonts w:hint="eastAsia" w:ascii="宋体" w:hAnsi="宋体"/>
                <w:b/>
                <w:snapToGrid w:val="0"/>
                <w:color w:val="000000"/>
                <w:kern w:val="0"/>
                <w:szCs w:val="20"/>
                <w:lang w:bidi="ar"/>
              </w:rPr>
              <w:t>成果输出</w:t>
            </w:r>
          </w:p>
        </w:tc>
      </w:tr>
      <w:tr>
        <w:trPr>
          <w:jc w:val="center"/>
        </w:trPr>
        <w:tc>
          <w:tcPr>
            <w:tcW w:w="15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项目启动</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1.组建测评项目组</w:t>
            </w:r>
          </w:p>
        </w:tc>
        <w:tc>
          <w:tcPr>
            <w:tcW w:w="26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 xml:space="preserve">向用户提交 </w:t>
            </w:r>
          </w:p>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 xml:space="preserve">《项目计划书》 </w:t>
            </w:r>
          </w:p>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《提供资料清单》</w:t>
            </w:r>
          </w:p>
        </w:tc>
      </w:tr>
      <w:tr>
        <w:trPr>
          <w:jc w:val="center"/>
        </w:trPr>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2.编制《项目计划书》</w:t>
            </w:r>
          </w:p>
        </w:tc>
        <w:tc>
          <w:tcPr>
            <w:tcW w:w="26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3.确定</w:t>
            </w:r>
            <w:r>
              <w:rPr>
                <w:rFonts w:hint="eastAsia" w:ascii="宋体" w:hAnsi="宋体"/>
                <w:snapToGrid w:val="0"/>
                <w:color w:val="000000"/>
                <w:kern w:val="0"/>
                <w:szCs w:val="20"/>
                <w:lang w:val="en-US" w:eastAsia="zh-CN" w:bidi="ar"/>
              </w:rPr>
              <w:t>用户</w:t>
            </w:r>
            <w:r>
              <w:rPr>
                <w:rFonts w:hint="eastAsia" w:ascii="宋体" w:hAnsi="宋体"/>
                <w:snapToGrid w:val="0"/>
                <w:color w:val="000000"/>
                <w:kern w:val="0"/>
                <w:szCs w:val="20"/>
                <w:lang w:bidi="ar"/>
              </w:rPr>
              <w:t>应提供的资料</w:t>
            </w:r>
          </w:p>
        </w:tc>
        <w:tc>
          <w:tcPr>
            <w:tcW w:w="26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信息收集分析</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定级报告及整改方案分析</w:t>
            </w:r>
          </w:p>
        </w:tc>
        <w:tc>
          <w:tcPr>
            <w:tcW w:w="26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《系统基本情况分析报告》</w:t>
            </w:r>
          </w:p>
        </w:tc>
      </w:tr>
      <w:tr>
        <w:trPr>
          <w:jc w:val="center"/>
        </w:trPr>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1.整理调查表单</w:t>
            </w:r>
          </w:p>
        </w:tc>
        <w:tc>
          <w:tcPr>
            <w:tcW w:w="26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int="eastAsia" w:hAnsi="宋体" w:eastAsia="宋体"/>
                <w:szCs w:val="20"/>
                <w:lang w:eastAsia="zh-CN"/>
              </w:rPr>
            </w:pPr>
            <w:r>
              <w:rPr>
                <w:rFonts w:hint="eastAsia" w:ascii="宋体" w:hAnsi="宋体"/>
                <w:snapToGrid w:val="0"/>
                <w:color w:val="000000"/>
                <w:kern w:val="0"/>
                <w:szCs w:val="20"/>
                <w:lang w:bidi="ar"/>
              </w:rPr>
              <w:t>2.发放调查表单给</w:t>
            </w:r>
            <w:r>
              <w:rPr>
                <w:rFonts w:hint="eastAsia" w:ascii="宋体" w:hAnsi="宋体"/>
                <w:snapToGrid w:val="0"/>
                <w:color w:val="000000"/>
                <w:kern w:val="0"/>
                <w:szCs w:val="20"/>
                <w:lang w:val="en-US" w:eastAsia="zh-CN" w:bidi="ar"/>
              </w:rPr>
              <w:t>用户</w:t>
            </w:r>
          </w:p>
        </w:tc>
        <w:tc>
          <w:tcPr>
            <w:tcW w:w="26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3.协助</w:t>
            </w:r>
            <w:r>
              <w:rPr>
                <w:rFonts w:hint="eastAsia" w:ascii="宋体" w:hAnsi="宋体"/>
                <w:snapToGrid w:val="0"/>
                <w:color w:val="000000"/>
                <w:kern w:val="0"/>
                <w:szCs w:val="20"/>
                <w:lang w:val="en-US" w:eastAsia="zh-CN" w:bidi="ar"/>
              </w:rPr>
              <w:t>用户</w:t>
            </w:r>
            <w:r>
              <w:rPr>
                <w:rFonts w:hint="eastAsia" w:ascii="宋体" w:hAnsi="宋体"/>
                <w:snapToGrid w:val="0"/>
                <w:color w:val="000000"/>
                <w:kern w:val="0"/>
                <w:szCs w:val="20"/>
                <w:lang w:bidi="ar"/>
              </w:rPr>
              <w:t>填写调查表</w:t>
            </w:r>
          </w:p>
        </w:tc>
        <w:tc>
          <w:tcPr>
            <w:tcW w:w="26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4.收回调查结果</w:t>
            </w:r>
          </w:p>
        </w:tc>
        <w:tc>
          <w:tcPr>
            <w:tcW w:w="26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5.分析调查结查</w:t>
            </w:r>
          </w:p>
        </w:tc>
        <w:tc>
          <w:tcPr>
            <w:tcW w:w="26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工具和表单准备</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1.调试测评工具</w:t>
            </w:r>
          </w:p>
        </w:tc>
        <w:tc>
          <w:tcPr>
            <w:tcW w:w="26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确定测评工具</w:t>
            </w:r>
          </w:p>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（测评工具清单） 《现场测评授权书》 《测评结果记录表》 《文档交接单》</w:t>
            </w:r>
          </w:p>
        </w:tc>
      </w:tr>
      <w:tr>
        <w:trPr>
          <w:jc w:val="center"/>
        </w:trPr>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2.模拟被测系统搭建测评环境</w:t>
            </w:r>
          </w:p>
        </w:tc>
        <w:tc>
          <w:tcPr>
            <w:tcW w:w="26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3.模拟测评</w:t>
            </w:r>
          </w:p>
        </w:tc>
        <w:tc>
          <w:tcPr>
            <w:tcW w:w="26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4.准备打印表单</w:t>
            </w:r>
          </w:p>
        </w:tc>
        <w:tc>
          <w:tcPr>
            <w:tcW w:w="26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bl>
    <w:p>
      <w:pPr>
        <w:widowControl/>
        <w:autoSpaceDE w:val="0"/>
        <w:autoSpaceDN w:val="0"/>
        <w:adjustRightInd w:val="0"/>
        <w:ind w:firstLine="480" w:firstLineChars="200"/>
        <w:rPr>
          <w:rFonts w:hAnsi="宋体" w:cs="宋体"/>
          <w:szCs w:val="20"/>
        </w:rPr>
      </w:pPr>
      <w:bookmarkStart w:id="11" w:name="_Toc316920802"/>
    </w:p>
    <w:p>
      <w:pPr>
        <w:widowControl/>
        <w:autoSpaceDE w:val="0"/>
        <w:autoSpaceDN w:val="0"/>
        <w:adjustRightInd w:val="0"/>
        <w:snapToGrid w:val="0"/>
        <w:ind w:firstLine="480" w:firstLineChars="200"/>
        <w:rPr>
          <w:rFonts w:hAnsi="宋体" w:cs="宋体"/>
          <w:szCs w:val="20"/>
        </w:rPr>
      </w:pPr>
      <w:r>
        <w:rPr>
          <w:rFonts w:hint="eastAsia" w:ascii="宋体" w:hAnsi="宋体" w:cs="宋体"/>
          <w:snapToGrid w:val="0"/>
          <w:color w:val="000000"/>
          <w:kern w:val="0"/>
          <w:szCs w:val="20"/>
          <w:lang w:bidi="ar"/>
        </w:rPr>
        <w:t>（2）方案编制</w:t>
      </w:r>
      <w:bookmarkEnd w:id="11"/>
      <w:r>
        <w:rPr>
          <w:rFonts w:hint="eastAsia" w:ascii="宋体" w:hAnsi="宋体" w:cs="宋体"/>
          <w:snapToGrid w:val="0"/>
          <w:color w:val="000000"/>
          <w:kern w:val="0"/>
          <w:szCs w:val="20"/>
          <w:lang w:bidi="ar"/>
        </w:rPr>
        <w:t>活动</w:t>
      </w:r>
    </w:p>
    <w:p>
      <w:pPr>
        <w:widowControl/>
        <w:autoSpaceDE w:val="0"/>
        <w:autoSpaceDN w:val="0"/>
        <w:adjustRightInd w:val="0"/>
        <w:snapToGrid w:val="0"/>
        <w:ind w:firstLine="540" w:firstLineChars="225"/>
        <w:rPr>
          <w:rFonts w:hAnsi="宋体"/>
          <w:b/>
          <w:szCs w:val="20"/>
        </w:rPr>
      </w:pPr>
      <w:r>
        <w:rPr>
          <w:rFonts w:hint="eastAsia" w:ascii="宋体" w:hAnsi="宋体" w:cs="宋体"/>
          <w:snapToGrid w:val="0"/>
          <w:color w:val="000000"/>
          <w:kern w:val="0"/>
          <w:szCs w:val="20"/>
          <w:lang w:bidi="ar"/>
        </w:rPr>
        <w:t>方案编制活动包括测评对象确定、测评指标确定、测试工具接入点确定、测评内容确定、测评指导书开发及测评方案编制等六项主要任务。</w:t>
      </w:r>
      <w:r>
        <w:rPr>
          <w:rFonts w:hint="eastAsia" w:ascii="宋体" w:hAnsi="宋体"/>
          <w:snapToGrid w:val="0"/>
          <w:color w:val="000000"/>
          <w:kern w:val="0"/>
          <w:szCs w:val="20"/>
          <w:lang w:bidi="ar"/>
        </w:rPr>
        <w:t>详细要求见下表：</w:t>
      </w:r>
    </w:p>
    <w:tbl>
      <w:tblPr>
        <w:tblStyle w:val="12"/>
        <w:tblW w:w="81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5"/>
        <w:gridCol w:w="4962"/>
        <w:gridCol w:w="1843"/>
      </w:tblGrid>
      <w:tr>
        <w:trPr>
          <w:trHeight w:val="401" w:hRule="atLeast"/>
          <w:jc w:val="center"/>
        </w:trPr>
        <w:tc>
          <w:tcPr>
            <w:tcW w:w="1384"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widowControl/>
              <w:autoSpaceDE w:val="0"/>
              <w:autoSpaceDN w:val="0"/>
              <w:adjustRightInd w:val="0"/>
              <w:spacing w:line="340" w:lineRule="exact"/>
              <w:jc w:val="center"/>
              <w:rPr>
                <w:rFonts w:hAnsi="宋体"/>
                <w:b/>
                <w:szCs w:val="20"/>
              </w:rPr>
            </w:pPr>
            <w:r>
              <w:rPr>
                <w:rFonts w:hint="eastAsia" w:ascii="宋体" w:hAnsi="宋体"/>
                <w:b/>
                <w:snapToGrid w:val="0"/>
                <w:color w:val="000000"/>
                <w:kern w:val="0"/>
                <w:szCs w:val="20"/>
                <w:lang w:bidi="ar"/>
              </w:rPr>
              <w:t>工作内容</w:t>
            </w:r>
          </w:p>
        </w:tc>
        <w:tc>
          <w:tcPr>
            <w:tcW w:w="4961"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widowControl/>
              <w:autoSpaceDE w:val="0"/>
              <w:autoSpaceDN w:val="0"/>
              <w:adjustRightInd w:val="0"/>
              <w:spacing w:line="340" w:lineRule="exact"/>
              <w:jc w:val="center"/>
              <w:rPr>
                <w:rFonts w:hAnsi="宋体"/>
                <w:b/>
                <w:szCs w:val="20"/>
              </w:rPr>
            </w:pPr>
            <w:r>
              <w:rPr>
                <w:rFonts w:hint="eastAsia" w:ascii="宋体" w:hAnsi="宋体"/>
                <w:b/>
                <w:snapToGrid w:val="0"/>
                <w:color w:val="000000"/>
                <w:kern w:val="0"/>
                <w:szCs w:val="20"/>
                <w:lang w:bidi="ar"/>
              </w:rPr>
              <w:t>工作详细任务</w:t>
            </w:r>
          </w:p>
        </w:tc>
        <w:tc>
          <w:tcPr>
            <w:tcW w:w="1843"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widowControl/>
              <w:autoSpaceDE w:val="0"/>
              <w:autoSpaceDN w:val="0"/>
              <w:adjustRightInd w:val="0"/>
              <w:spacing w:line="340" w:lineRule="exact"/>
              <w:jc w:val="center"/>
              <w:rPr>
                <w:rFonts w:hAnsi="宋体"/>
                <w:b/>
                <w:szCs w:val="20"/>
              </w:rPr>
            </w:pPr>
            <w:r>
              <w:rPr>
                <w:rFonts w:hint="eastAsia" w:ascii="宋体" w:hAnsi="宋体"/>
                <w:b/>
                <w:snapToGrid w:val="0"/>
                <w:color w:val="000000"/>
                <w:kern w:val="0"/>
                <w:szCs w:val="20"/>
                <w:lang w:bidi="ar"/>
              </w:rPr>
              <w:t>输出成果</w:t>
            </w:r>
          </w:p>
        </w:tc>
      </w:tr>
      <w:tr>
        <w:trPr>
          <w:jc w:val="center"/>
        </w:trPr>
        <w:tc>
          <w:tcPr>
            <w:tcW w:w="138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一、测评对象确认</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识别被测系统等级</w:t>
            </w:r>
          </w:p>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识别被测系统的整体结构</w:t>
            </w:r>
          </w:p>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识别被测系统的边界</w:t>
            </w:r>
          </w:p>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识别被测系统的网络区域</w:t>
            </w:r>
          </w:p>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识别被测系统的重要节点和业务应用</w:t>
            </w:r>
          </w:p>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确定测评对象</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《测评方案》的测评对象部分</w:t>
            </w:r>
          </w:p>
        </w:tc>
      </w:tr>
      <w:tr>
        <w:trPr>
          <w:jc w:val="center"/>
        </w:trPr>
        <w:tc>
          <w:tcPr>
            <w:tcW w:w="13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二、测评指标确定</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识别被测系统业务信息和系统服务安全保护等级</w:t>
            </w:r>
          </w:p>
        </w:tc>
        <w:tc>
          <w:tcPr>
            <w:tcW w:w="184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《测评方案》的测评指标部分</w:t>
            </w:r>
          </w:p>
        </w:tc>
      </w:tr>
      <w:tr>
        <w:trPr>
          <w:jc w:val="center"/>
        </w:trPr>
        <w:tc>
          <w:tcPr>
            <w:tcW w:w="13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选择对应等级的ASG三类安全要求作为测评指标</w:t>
            </w: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3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就高原则调整多个定级对象共用的某些物理安全或管理安全测评指标</w:t>
            </w: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38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三、工具测试点确定</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确定工具测试的测评对象</w:t>
            </w:r>
          </w:p>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选择测试路径</w:t>
            </w:r>
          </w:p>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确定测试工具的接入点</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《测评方案》的测试工具接入点部分</w:t>
            </w:r>
          </w:p>
        </w:tc>
      </w:tr>
      <w:tr>
        <w:trPr>
          <w:jc w:val="center"/>
        </w:trPr>
        <w:tc>
          <w:tcPr>
            <w:tcW w:w="13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四、测试内容确定</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识别每个测评对象对象的测评指标</w:t>
            </w:r>
          </w:p>
        </w:tc>
        <w:tc>
          <w:tcPr>
            <w:tcW w:w="184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《测评方案》的单项测评实施和系统测评实施部分</w:t>
            </w:r>
          </w:p>
        </w:tc>
      </w:tr>
      <w:tr>
        <w:trPr>
          <w:jc w:val="center"/>
        </w:trPr>
        <w:tc>
          <w:tcPr>
            <w:tcW w:w="13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识别每个测评对象对应的每个测试指标的测试方法</w:t>
            </w: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3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五、测评指导书开发</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从已有的测评指导书中选择与测评对象对应的手册</w:t>
            </w:r>
          </w:p>
        </w:tc>
        <w:tc>
          <w:tcPr>
            <w:tcW w:w="184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《测评方案》的测评实施手册部分</w:t>
            </w:r>
          </w:p>
        </w:tc>
      </w:tr>
      <w:tr>
        <w:trPr>
          <w:jc w:val="center"/>
        </w:trPr>
        <w:tc>
          <w:tcPr>
            <w:tcW w:w="13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针对没有现成测评指导书的测评对象，开发新的测评指导书</w:t>
            </w: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3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六、测评方案编制</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描述测评项目基本情况和工作依据</w:t>
            </w:r>
          </w:p>
        </w:tc>
        <w:tc>
          <w:tcPr>
            <w:tcW w:w="184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向用户提交 《测评方案》</w:t>
            </w:r>
          </w:p>
        </w:tc>
      </w:tr>
      <w:tr>
        <w:trPr>
          <w:jc w:val="center"/>
        </w:trPr>
        <w:tc>
          <w:tcPr>
            <w:tcW w:w="13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描述被测系统的整体结构、边界和网络区域</w:t>
            </w: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3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描述被测系统的重要节点和业务应用</w:t>
            </w: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3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描述测评指标</w:t>
            </w: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3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描述测评对象</w:t>
            </w: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3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描述测评内容和方法</w:t>
            </w: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bl>
    <w:p>
      <w:pPr>
        <w:widowControl/>
        <w:autoSpaceDE w:val="0"/>
        <w:autoSpaceDN w:val="0"/>
        <w:adjustRightInd w:val="0"/>
        <w:ind w:firstLine="480" w:firstLineChars="200"/>
        <w:rPr>
          <w:rFonts w:hAnsi="宋体" w:cs="宋体"/>
          <w:szCs w:val="20"/>
        </w:rPr>
      </w:pPr>
      <w:bookmarkStart w:id="12" w:name="_Toc316920803"/>
    </w:p>
    <w:p>
      <w:pPr>
        <w:widowControl/>
        <w:autoSpaceDE w:val="0"/>
        <w:autoSpaceDN w:val="0"/>
        <w:adjustRightInd w:val="0"/>
        <w:ind w:firstLine="480" w:firstLineChars="200"/>
        <w:rPr>
          <w:rFonts w:hAnsi="宋体" w:cs="宋体"/>
          <w:szCs w:val="20"/>
        </w:rPr>
      </w:pPr>
      <w:r>
        <w:rPr>
          <w:rFonts w:hint="eastAsia" w:ascii="宋体" w:hAnsi="宋体" w:cs="宋体"/>
          <w:snapToGrid w:val="0"/>
          <w:color w:val="000000"/>
          <w:kern w:val="0"/>
          <w:szCs w:val="20"/>
          <w:lang w:bidi="ar"/>
        </w:rPr>
        <w:t>（3）现场测评</w:t>
      </w:r>
      <w:bookmarkEnd w:id="12"/>
      <w:r>
        <w:rPr>
          <w:rFonts w:hint="eastAsia" w:ascii="宋体" w:hAnsi="宋体" w:cs="宋体"/>
          <w:snapToGrid w:val="0"/>
          <w:color w:val="000000"/>
          <w:kern w:val="0"/>
          <w:szCs w:val="20"/>
          <w:lang w:bidi="ar"/>
        </w:rPr>
        <w:t>活动</w:t>
      </w:r>
    </w:p>
    <w:p>
      <w:pPr>
        <w:widowControl/>
        <w:autoSpaceDE w:val="0"/>
        <w:autoSpaceDN w:val="0"/>
        <w:adjustRightInd w:val="0"/>
        <w:ind w:firstLine="540" w:firstLineChars="225"/>
        <w:rPr>
          <w:rFonts w:hAnsi="宋体" w:cs="宋体"/>
          <w:szCs w:val="20"/>
        </w:rPr>
      </w:pPr>
      <w:r>
        <w:rPr>
          <w:rFonts w:hint="eastAsia" w:ascii="宋体" w:hAnsi="宋体" w:cs="宋体"/>
          <w:snapToGrid w:val="0"/>
          <w:color w:val="000000"/>
          <w:kern w:val="0"/>
          <w:szCs w:val="20"/>
          <w:lang w:bidi="ar"/>
        </w:rPr>
        <w:t>现场测评活动通过与测评委托单位进行沟通和协调，为现场测评的顺利开展打下良好基础，然后依据测评方案实施现场测评工作，将测评方案和测评工具等具体落实到现场测评活动中。现场测评工作应取得分析与报告编制活动所需的、足够的证据和资料。</w:t>
      </w:r>
    </w:p>
    <w:p>
      <w:pPr>
        <w:widowControl/>
        <w:autoSpaceDE w:val="0"/>
        <w:autoSpaceDN w:val="0"/>
        <w:adjustRightInd w:val="0"/>
        <w:ind w:firstLine="540" w:firstLineChars="225"/>
        <w:rPr>
          <w:rFonts w:hAnsi="宋体"/>
          <w:szCs w:val="20"/>
        </w:rPr>
      </w:pPr>
      <w:r>
        <w:rPr>
          <w:rFonts w:hint="eastAsia" w:ascii="宋体" w:hAnsi="宋体" w:cs="宋体"/>
          <w:snapToGrid w:val="0"/>
          <w:color w:val="000000"/>
          <w:kern w:val="0"/>
          <w:szCs w:val="20"/>
          <w:lang w:bidi="ar"/>
        </w:rPr>
        <w:t>现场测评活动包括现场测评准备、现场测评和结果记录、结果确认和资料归还三项主要任务。</w:t>
      </w:r>
      <w:r>
        <w:rPr>
          <w:rFonts w:hint="eastAsia" w:ascii="宋体" w:hAnsi="宋体"/>
          <w:snapToGrid w:val="0"/>
          <w:color w:val="000000"/>
          <w:kern w:val="0"/>
          <w:szCs w:val="20"/>
          <w:lang w:bidi="ar"/>
        </w:rPr>
        <w:t>详细要求见下表：</w:t>
      </w:r>
    </w:p>
    <w:tbl>
      <w:tblPr>
        <w:tblStyle w:val="12"/>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3118"/>
        <w:gridCol w:w="3593"/>
      </w:tblGrid>
      <w:tr>
        <w:trPr>
          <w:jc w:val="center"/>
        </w:trPr>
        <w:tc>
          <w:tcPr>
            <w:tcW w:w="1809"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widowControl/>
              <w:autoSpaceDE w:val="0"/>
              <w:autoSpaceDN w:val="0"/>
              <w:adjustRightInd w:val="0"/>
              <w:spacing w:line="340" w:lineRule="exact"/>
              <w:jc w:val="center"/>
              <w:rPr>
                <w:rFonts w:hAnsi="宋体"/>
                <w:b/>
                <w:szCs w:val="20"/>
              </w:rPr>
            </w:pPr>
            <w:r>
              <w:rPr>
                <w:rFonts w:hint="eastAsia" w:ascii="宋体" w:hAnsi="宋体"/>
                <w:b/>
                <w:snapToGrid w:val="0"/>
                <w:color w:val="000000"/>
                <w:kern w:val="0"/>
                <w:szCs w:val="20"/>
                <w:lang w:bidi="ar"/>
              </w:rPr>
              <w:t>工作内容</w:t>
            </w:r>
          </w:p>
        </w:tc>
        <w:tc>
          <w:tcPr>
            <w:tcW w:w="3119"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widowControl/>
              <w:autoSpaceDE w:val="0"/>
              <w:autoSpaceDN w:val="0"/>
              <w:adjustRightInd w:val="0"/>
              <w:spacing w:line="340" w:lineRule="exact"/>
              <w:jc w:val="center"/>
              <w:rPr>
                <w:rFonts w:hAnsi="宋体"/>
                <w:b/>
                <w:szCs w:val="20"/>
              </w:rPr>
            </w:pPr>
            <w:r>
              <w:rPr>
                <w:rFonts w:hint="eastAsia" w:ascii="宋体" w:hAnsi="宋体"/>
                <w:b/>
                <w:snapToGrid w:val="0"/>
                <w:color w:val="000000"/>
                <w:kern w:val="0"/>
                <w:szCs w:val="20"/>
                <w:lang w:bidi="ar"/>
              </w:rPr>
              <w:t>工作详细任务</w:t>
            </w:r>
          </w:p>
        </w:tc>
        <w:tc>
          <w:tcPr>
            <w:tcW w:w="3594"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widowControl/>
              <w:autoSpaceDE w:val="0"/>
              <w:autoSpaceDN w:val="0"/>
              <w:adjustRightInd w:val="0"/>
              <w:spacing w:line="340" w:lineRule="exact"/>
              <w:jc w:val="center"/>
              <w:rPr>
                <w:rFonts w:hAnsi="宋体"/>
                <w:b/>
                <w:szCs w:val="20"/>
              </w:rPr>
            </w:pPr>
            <w:r>
              <w:rPr>
                <w:rFonts w:hint="eastAsia" w:ascii="宋体" w:hAnsi="宋体"/>
                <w:b/>
                <w:snapToGrid w:val="0"/>
                <w:color w:val="000000"/>
                <w:kern w:val="0"/>
                <w:szCs w:val="20"/>
                <w:lang w:bidi="ar"/>
              </w:rPr>
              <w:t>输出</w:t>
            </w:r>
          </w:p>
        </w:tc>
      </w:tr>
      <w:tr>
        <w:trPr>
          <w:jc w:val="center"/>
        </w:trPr>
        <w:tc>
          <w:tcPr>
            <w:tcW w:w="18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1.现场测评准备</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现场测评授权书签署</w:t>
            </w:r>
          </w:p>
        </w:tc>
        <w:tc>
          <w:tcPr>
            <w:tcW w:w="35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会议记录、确认的授权委托书、更新后的测评计划和测评方案</w:t>
            </w:r>
          </w:p>
        </w:tc>
      </w:tr>
      <w:tr>
        <w:trPr>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召开现场测评启动会</w:t>
            </w:r>
          </w:p>
        </w:tc>
        <w:tc>
          <w:tcPr>
            <w:tcW w:w="3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双方确认测评方案</w:t>
            </w:r>
          </w:p>
        </w:tc>
        <w:tc>
          <w:tcPr>
            <w:tcW w:w="3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双方确认配合人员、环境等资源</w:t>
            </w:r>
          </w:p>
        </w:tc>
        <w:tc>
          <w:tcPr>
            <w:tcW w:w="3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确认信息系统已经备份</w:t>
            </w:r>
          </w:p>
        </w:tc>
        <w:tc>
          <w:tcPr>
            <w:tcW w:w="3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测评方案、结构记录表格等资料更新</w:t>
            </w:r>
          </w:p>
        </w:tc>
        <w:tc>
          <w:tcPr>
            <w:tcW w:w="3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8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2.现场测评和结构记录</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依据测评指导书实施测评</w:t>
            </w:r>
          </w:p>
        </w:tc>
        <w:tc>
          <w:tcPr>
            <w:tcW w:w="35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访谈结果：技术安全和管理安全测评的测评结果记录或录音 文档审查结果： 管理安全测评的测评结果记录 配置检查结果： 技术安全测评的网络、主机、应用测评结果记录表格 工具测试结果： 技术安全测评的网络、主机、应用测评结果记录，工具测试完成后的电子输出记录，备份的测试结果文件 实地察看结果： 技术安全测评的物理安全和管理安全测评结果记录 测评结果确认： 现场核查中发现的问题汇总、证据和证据源记录、被测单位的书面认可文件</w:t>
            </w:r>
          </w:p>
        </w:tc>
      </w:tr>
      <w:tr>
        <w:trPr>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记录测评获取的证据、资料等信息</w:t>
            </w:r>
          </w:p>
        </w:tc>
        <w:tc>
          <w:tcPr>
            <w:tcW w:w="3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汇总测评记录，如果需要，实施补充测评</w:t>
            </w:r>
          </w:p>
        </w:tc>
        <w:tc>
          <w:tcPr>
            <w:tcW w:w="3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8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3.结果确认和资料归还</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召开现场测评结束会</w:t>
            </w:r>
          </w:p>
        </w:tc>
        <w:tc>
          <w:tcPr>
            <w:tcW w:w="3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测评委托单位确认测评过程中获取的证据和资料的正确性，并签字认可</w:t>
            </w:r>
          </w:p>
        </w:tc>
        <w:tc>
          <w:tcPr>
            <w:tcW w:w="3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8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测评人员归还借阅的各种资料</w:t>
            </w:r>
          </w:p>
        </w:tc>
        <w:tc>
          <w:tcPr>
            <w:tcW w:w="3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bl>
    <w:p>
      <w:pPr>
        <w:widowControl/>
        <w:autoSpaceDE w:val="0"/>
        <w:autoSpaceDN w:val="0"/>
        <w:adjustRightInd w:val="0"/>
        <w:ind w:firstLine="480" w:firstLineChars="200"/>
        <w:rPr>
          <w:rFonts w:hAnsi="宋体" w:cs="宋体"/>
          <w:szCs w:val="20"/>
        </w:rPr>
      </w:pPr>
      <w:bookmarkStart w:id="13" w:name="_Toc316920804"/>
    </w:p>
    <w:p>
      <w:pPr>
        <w:widowControl/>
        <w:autoSpaceDE w:val="0"/>
        <w:autoSpaceDN w:val="0"/>
        <w:adjustRightInd w:val="0"/>
        <w:ind w:firstLine="480" w:firstLineChars="200"/>
        <w:rPr>
          <w:rFonts w:hAnsi="宋体" w:cs="宋体"/>
          <w:szCs w:val="20"/>
        </w:rPr>
      </w:pPr>
      <w:r>
        <w:rPr>
          <w:rFonts w:hint="eastAsia" w:ascii="宋体" w:hAnsi="宋体" w:cs="宋体"/>
          <w:snapToGrid w:val="0"/>
          <w:color w:val="000000"/>
          <w:kern w:val="0"/>
          <w:szCs w:val="20"/>
          <w:lang w:bidi="ar"/>
        </w:rPr>
        <w:t>（4）报告分析及编制活动</w:t>
      </w:r>
      <w:bookmarkEnd w:id="13"/>
    </w:p>
    <w:p>
      <w:pPr>
        <w:widowControl/>
        <w:autoSpaceDE w:val="0"/>
        <w:autoSpaceDN w:val="0"/>
        <w:adjustRightInd w:val="0"/>
        <w:ind w:firstLine="540" w:firstLineChars="225"/>
        <w:rPr>
          <w:rFonts w:hAnsi="宋体" w:cs="宋体"/>
          <w:szCs w:val="20"/>
        </w:rPr>
      </w:pPr>
      <w:r>
        <w:rPr>
          <w:rFonts w:hint="eastAsia" w:ascii="宋体" w:hAnsi="宋体" w:cs="宋体"/>
          <w:snapToGrid w:val="0"/>
          <w:color w:val="000000"/>
          <w:kern w:val="0"/>
          <w:szCs w:val="20"/>
          <w:lang w:bidi="ar"/>
        </w:rPr>
        <w:t>在现场测评工作结束后，应对现场测评获得的测评结果（或称测评证据）进行汇总分析，形成等级测评结论，并编制测评报告。</w:t>
      </w:r>
    </w:p>
    <w:p>
      <w:pPr>
        <w:widowControl/>
        <w:autoSpaceDE w:val="0"/>
        <w:autoSpaceDN w:val="0"/>
        <w:adjustRightInd w:val="0"/>
        <w:ind w:firstLine="540" w:firstLineChars="225"/>
        <w:rPr>
          <w:rFonts w:hAnsi="宋体"/>
          <w:szCs w:val="20"/>
        </w:rPr>
      </w:pPr>
      <w:r>
        <w:rPr>
          <w:rFonts w:hint="eastAsia" w:ascii="宋体" w:hAnsi="宋体" w:cs="宋体"/>
          <w:snapToGrid w:val="0"/>
          <w:color w:val="000000"/>
          <w:kern w:val="0"/>
          <w:szCs w:val="20"/>
          <w:lang w:bidi="ar"/>
        </w:rPr>
        <w:t>测评人员在初步判定单元测评结果后，还需进行整体测评，经过整体测评后，有的单元测评结果可能会有所变化，需进一步修订单元测评结果，而后进行风险分析和评价，形成等级测评结论。分析与报告编制活动包括单项测评结果判定、单元测评结果判定、整体测评、风险分析、等级测评结论形成及测评报告编制六项主要任务。</w:t>
      </w:r>
      <w:r>
        <w:rPr>
          <w:rFonts w:hint="eastAsia" w:ascii="宋体" w:hAnsi="宋体"/>
          <w:snapToGrid w:val="0"/>
          <w:color w:val="000000"/>
          <w:kern w:val="0"/>
          <w:szCs w:val="20"/>
          <w:lang w:bidi="ar"/>
        </w:rPr>
        <w:t>详细要求见下表：</w:t>
      </w:r>
    </w:p>
    <w:tbl>
      <w:tblPr>
        <w:tblStyle w:val="12"/>
        <w:tblW w:w="8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5181"/>
        <w:gridCol w:w="1693"/>
      </w:tblGrid>
      <w:tr>
        <w:trPr>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widowControl/>
              <w:autoSpaceDE w:val="0"/>
              <w:autoSpaceDN w:val="0"/>
              <w:adjustRightInd w:val="0"/>
              <w:spacing w:line="340" w:lineRule="exact"/>
              <w:jc w:val="center"/>
              <w:rPr>
                <w:rFonts w:hAnsi="宋体"/>
                <w:b/>
                <w:szCs w:val="20"/>
              </w:rPr>
            </w:pPr>
            <w:r>
              <w:rPr>
                <w:rFonts w:hint="eastAsia" w:ascii="宋体" w:hAnsi="宋体"/>
                <w:b/>
                <w:snapToGrid w:val="0"/>
                <w:color w:val="000000"/>
                <w:kern w:val="0"/>
                <w:szCs w:val="20"/>
                <w:lang w:bidi="ar"/>
              </w:rPr>
              <w:t>工作内容</w:t>
            </w:r>
          </w:p>
        </w:tc>
        <w:tc>
          <w:tcPr>
            <w:tcW w:w="5182"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widowControl/>
              <w:autoSpaceDE w:val="0"/>
              <w:autoSpaceDN w:val="0"/>
              <w:adjustRightInd w:val="0"/>
              <w:spacing w:line="340" w:lineRule="exact"/>
              <w:jc w:val="center"/>
              <w:rPr>
                <w:rFonts w:hAnsi="宋体"/>
                <w:b/>
                <w:szCs w:val="20"/>
              </w:rPr>
            </w:pPr>
            <w:r>
              <w:rPr>
                <w:rFonts w:hint="eastAsia" w:ascii="宋体" w:hAnsi="宋体"/>
                <w:b/>
                <w:snapToGrid w:val="0"/>
                <w:color w:val="000000"/>
                <w:kern w:val="0"/>
                <w:szCs w:val="20"/>
                <w:lang w:bidi="ar"/>
              </w:rPr>
              <w:t>工作详细任务</w:t>
            </w:r>
          </w:p>
        </w:tc>
        <w:tc>
          <w:tcPr>
            <w:tcW w:w="1693"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widowControl/>
              <w:autoSpaceDE w:val="0"/>
              <w:autoSpaceDN w:val="0"/>
              <w:adjustRightInd w:val="0"/>
              <w:spacing w:line="340" w:lineRule="exact"/>
              <w:jc w:val="center"/>
              <w:rPr>
                <w:rFonts w:hAnsi="宋体"/>
                <w:b/>
                <w:szCs w:val="20"/>
              </w:rPr>
            </w:pPr>
            <w:r>
              <w:rPr>
                <w:rFonts w:hint="eastAsia" w:ascii="宋体" w:hAnsi="宋体"/>
                <w:b/>
                <w:snapToGrid w:val="0"/>
                <w:color w:val="000000"/>
                <w:kern w:val="0"/>
                <w:szCs w:val="20"/>
                <w:lang w:bidi="ar"/>
              </w:rPr>
              <w:t>工作依据（模版)</w:t>
            </w:r>
          </w:p>
        </w:tc>
      </w:tr>
      <w:tr>
        <w:trPr>
          <w:jc w:val="center"/>
        </w:trPr>
        <w:tc>
          <w:tcPr>
            <w:tcW w:w="15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1.单项测评结果判定</w:t>
            </w: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分析测评项所对抗威胁的存在情况</w:t>
            </w:r>
          </w:p>
        </w:tc>
        <w:tc>
          <w:tcPr>
            <w:tcW w:w="16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等级测评报告的单项测评结果部分</w:t>
            </w: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分析单个测评项是否有多方面的要求内容，依据“优势证据”法选择优势证据，并将优势证据与预期测评结果相比较</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综合判定单个测评项的测评结果</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2.单元测评结果判定</w:t>
            </w: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汇总每个测评对象在每个测评单元的单项测评结果</w:t>
            </w:r>
          </w:p>
        </w:tc>
        <w:tc>
          <w:tcPr>
            <w:tcW w:w="16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等级测评报告的单项测评结果汇总分析部分</w:t>
            </w: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判定每个测评对象的单元测评结果</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3.整体测评</w:t>
            </w: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分析不符合和部分符合的测评项与其他测评项（包括单元内、层面间、区域间）之间的关联关系及对结果的影响情况</w:t>
            </w:r>
          </w:p>
        </w:tc>
        <w:tc>
          <w:tcPr>
            <w:tcW w:w="16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等级测评报告的系统整体测评分析部分</w:t>
            </w: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分析被测系统整体结构的安全性对结果的影响情况</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4.风险分析</w:t>
            </w: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整体测评后的单项测评结果再次汇总</w:t>
            </w:r>
          </w:p>
        </w:tc>
        <w:tc>
          <w:tcPr>
            <w:tcW w:w="16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等级测评报告的风险分析部分</w:t>
            </w: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分析部分符合项或不符合项所产生的安全问题被威胁利用的可能性</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分析威胁利用安全问题后造成的影响程度</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为被测系统面临的风险进行赋值</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评价风险分析结果</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5.等级测评结论形成</w:t>
            </w: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统计再次汇总后的单项测评结果为部分符合和不符合项的项数</w:t>
            </w:r>
          </w:p>
        </w:tc>
        <w:tc>
          <w:tcPr>
            <w:tcW w:w="16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等级测评报告的等级测评结论部分</w:t>
            </w: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形成等级测评结论</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6.测评报告编制</w:t>
            </w: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概述测评项目情况</w:t>
            </w:r>
          </w:p>
        </w:tc>
        <w:tc>
          <w:tcPr>
            <w:tcW w:w="16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等级测评报告 提交用户</w:t>
            </w: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描述被测系统情况</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描述测评范围和方法</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描述整体测评情况</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汇总测评结果</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描述风险情况</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r>
        <w:trPr>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c>
          <w:tcPr>
            <w:tcW w:w="518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40" w:lineRule="exact"/>
              <w:rPr>
                <w:rFonts w:hAnsi="宋体"/>
                <w:szCs w:val="20"/>
              </w:rPr>
            </w:pPr>
            <w:r>
              <w:rPr>
                <w:rFonts w:hint="eastAsia" w:ascii="宋体" w:hAnsi="宋体"/>
                <w:snapToGrid w:val="0"/>
                <w:color w:val="000000"/>
                <w:kern w:val="0"/>
                <w:szCs w:val="20"/>
                <w:lang w:bidi="ar"/>
              </w:rPr>
              <w:t>给出等级测评结论和整改建议</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sz w:val="20"/>
                <w:szCs w:val="20"/>
              </w:rPr>
            </w:pPr>
          </w:p>
        </w:tc>
      </w:tr>
    </w:tbl>
    <w:p>
      <w:pPr>
        <w:widowControl/>
        <w:autoSpaceDE w:val="0"/>
        <w:autoSpaceDN w:val="0"/>
        <w:adjustRightInd w:val="0"/>
        <w:snapToGrid w:val="0"/>
        <w:rPr>
          <w:rFonts w:hint="eastAsia" w:ascii="宋体" w:hAnsi="宋体" w:cs="宋体"/>
          <w:b/>
          <w:snapToGrid w:val="0"/>
          <w:color w:val="000000"/>
          <w:kern w:val="0"/>
          <w:szCs w:val="20"/>
          <w:lang w:bidi="ar"/>
        </w:rPr>
      </w:pPr>
    </w:p>
    <w:p>
      <w:pPr>
        <w:widowControl/>
        <w:autoSpaceDE w:val="0"/>
        <w:autoSpaceDN w:val="0"/>
        <w:adjustRightInd w:val="0"/>
        <w:snapToGrid w:val="0"/>
        <w:rPr>
          <w:rFonts w:hint="eastAsia" w:ascii="宋体" w:hAnsi="宋体" w:cs="宋体"/>
          <w:b/>
          <w:snapToGrid w:val="0"/>
          <w:color w:val="000000"/>
          <w:kern w:val="0"/>
          <w:szCs w:val="20"/>
          <w:lang w:bidi="ar"/>
        </w:rPr>
      </w:pPr>
    </w:p>
    <w:bookmarkEnd w:id="9"/>
    <w:p>
      <w:pPr>
        <w:widowControl/>
        <w:autoSpaceDE w:val="0"/>
        <w:autoSpaceDN w:val="0"/>
        <w:adjustRightInd w:val="0"/>
        <w:snapToGrid w:val="0"/>
        <w:outlineLvl w:val="1"/>
        <w:rPr>
          <w:rFonts w:hAnsi="宋体"/>
          <w:b/>
          <w:szCs w:val="20"/>
        </w:rPr>
      </w:pPr>
      <w:bookmarkStart w:id="14" w:name="_Toc369188902"/>
      <w:r>
        <w:rPr>
          <w:rFonts w:hint="eastAsia" w:ascii="宋体" w:hAnsi="宋体"/>
          <w:b/>
          <w:snapToGrid w:val="0"/>
          <w:color w:val="000000"/>
          <w:kern w:val="0"/>
          <w:szCs w:val="20"/>
          <w:lang w:bidi="ar"/>
        </w:rPr>
        <w:t>八、服务</w:t>
      </w:r>
      <w:bookmarkEnd w:id="14"/>
      <w:r>
        <w:rPr>
          <w:rFonts w:hint="eastAsia" w:ascii="宋体" w:hAnsi="宋体"/>
          <w:b/>
          <w:snapToGrid w:val="0"/>
          <w:color w:val="000000"/>
          <w:kern w:val="0"/>
          <w:szCs w:val="20"/>
          <w:lang w:bidi="ar"/>
        </w:rPr>
        <w:t>要求</w:t>
      </w:r>
    </w:p>
    <w:p>
      <w:pPr>
        <w:widowControl/>
        <w:autoSpaceDE w:val="0"/>
        <w:autoSpaceDN w:val="0"/>
        <w:adjustRightInd w:val="0"/>
        <w:snapToGrid w:val="0"/>
        <w:outlineLvl w:val="1"/>
        <w:rPr>
          <w:rFonts w:hAnsi="宋体"/>
          <w:b/>
          <w:szCs w:val="20"/>
        </w:rPr>
      </w:pPr>
      <w:bookmarkStart w:id="15" w:name="_Toc369188904"/>
      <w:r>
        <w:rPr>
          <w:rFonts w:hint="eastAsia" w:ascii="宋体" w:hAnsi="宋体"/>
          <w:b/>
          <w:snapToGrid w:val="0"/>
          <w:color w:val="000000"/>
          <w:kern w:val="0"/>
          <w:szCs w:val="20"/>
          <w:lang w:bidi="ar"/>
        </w:rPr>
        <w:t>（1）实施团队要求</w:t>
      </w:r>
      <w:bookmarkEnd w:id="15"/>
    </w:p>
    <w:p>
      <w:pPr>
        <w:pStyle w:val="17"/>
        <w:ind w:firstLine="480"/>
      </w:pPr>
      <w:r>
        <w:rPr>
          <w:rFonts w:hint="eastAsia"/>
        </w:rPr>
        <w:t>1、供应商应组建专业的服务团队，团队成员需具备丰富的等保测评经验，持有相关专业资质证书；项目经理应具备丰富的测评经验，需具备高级等级保护测评师证书；服务团队应明确各成员职责，确保项目顺利实施。</w:t>
      </w:r>
    </w:p>
    <w:p>
      <w:pPr>
        <w:pStyle w:val="17"/>
        <w:ind w:firstLine="480"/>
      </w:pPr>
      <w:r>
        <w:rPr>
          <w:rFonts w:hint="eastAsia"/>
        </w:rPr>
        <w:t>2、供应商必须提供现场测评服务，测评机构必须派驻满足上述第1条约定的相关资历项目经理和实施团队成员在现场实施现场测评直至所有成果报告编写完成且通过</w:t>
      </w:r>
      <w:r>
        <w:rPr>
          <w:rFonts w:hint="eastAsia"/>
          <w:lang w:val="en-US" w:eastAsia="zh-CN"/>
        </w:rPr>
        <w:t>我</w:t>
      </w:r>
      <w:r>
        <w:rPr>
          <w:rFonts w:hint="eastAsia"/>
        </w:rPr>
        <w:t>单位验收合格，同时包括现场提供政策/标准咨询、整改指导、整改情况复核验证、信息系统安全检查咨询等服务。如实际提供的项目经理和项目团队成员与投标提供的名单材料不符，将视为虚假应标，</w:t>
      </w:r>
      <w:r>
        <w:rPr>
          <w:rFonts w:hint="eastAsia"/>
          <w:lang w:val="en-US" w:eastAsia="zh-CN"/>
        </w:rPr>
        <w:t>我</w:t>
      </w:r>
      <w:r>
        <w:rPr>
          <w:rFonts w:hint="eastAsia"/>
        </w:rPr>
        <w:t>单位有权按违约处理解除合同。若</w:t>
      </w:r>
      <w:r>
        <w:rPr>
          <w:rFonts w:hint="eastAsia"/>
          <w:lang w:val="en-US" w:eastAsia="zh-CN"/>
        </w:rPr>
        <w:t>我</w:t>
      </w:r>
      <w:r>
        <w:rPr>
          <w:rFonts w:hint="eastAsia"/>
        </w:rPr>
        <w:t>单位认为项目经理或项目团队成员能力与工作所要求的能力不相称而提出更换时，测评机构必须予以更换，人员更换不得影响测评成果交付时间。</w:t>
      </w:r>
    </w:p>
    <w:p>
      <w:pPr>
        <w:widowControl/>
        <w:autoSpaceDE w:val="0"/>
        <w:autoSpaceDN w:val="0"/>
        <w:adjustRightInd w:val="0"/>
        <w:snapToGrid w:val="0"/>
        <w:outlineLvl w:val="1"/>
        <w:rPr>
          <w:rFonts w:hAnsi="宋体"/>
          <w:b/>
          <w:szCs w:val="20"/>
        </w:rPr>
      </w:pPr>
      <w:bookmarkStart w:id="16" w:name="_Toc369188906"/>
      <w:bookmarkStart w:id="17" w:name="_Toc244418538"/>
      <w:r>
        <w:rPr>
          <w:rFonts w:hint="eastAsia" w:ascii="宋体" w:hAnsi="宋体"/>
          <w:b/>
          <w:snapToGrid w:val="0"/>
          <w:color w:val="000000"/>
          <w:kern w:val="0"/>
          <w:szCs w:val="20"/>
          <w:lang w:bidi="ar"/>
        </w:rPr>
        <w:t>（2）</w:t>
      </w:r>
      <w:bookmarkEnd w:id="16"/>
      <w:bookmarkEnd w:id="17"/>
      <w:bookmarkStart w:id="18" w:name="_Toc244402942"/>
      <w:bookmarkEnd w:id="18"/>
      <w:bookmarkStart w:id="19" w:name="_Toc244418540"/>
      <w:bookmarkEnd w:id="19"/>
      <w:bookmarkStart w:id="20" w:name="_Toc244403001"/>
      <w:bookmarkEnd w:id="20"/>
      <w:bookmarkStart w:id="21" w:name="_Toc244403000"/>
      <w:bookmarkEnd w:id="21"/>
      <w:bookmarkStart w:id="22" w:name="_Toc244418539"/>
      <w:bookmarkEnd w:id="22"/>
      <w:bookmarkStart w:id="23" w:name="_Toc244402943"/>
      <w:bookmarkEnd w:id="23"/>
      <w:r>
        <w:rPr>
          <w:rFonts w:hint="eastAsia" w:ascii="宋体" w:hAnsi="宋体"/>
          <w:b/>
          <w:snapToGrid w:val="0"/>
          <w:color w:val="000000"/>
          <w:kern w:val="0"/>
          <w:szCs w:val="20"/>
          <w:lang w:bidi="ar"/>
        </w:rPr>
        <w:t>交付成果和报告</w:t>
      </w:r>
    </w:p>
    <w:p>
      <w:pPr>
        <w:widowControl/>
        <w:autoSpaceDE w:val="0"/>
        <w:autoSpaceDN w:val="0"/>
        <w:adjustRightInd w:val="0"/>
        <w:snapToGrid w:val="0"/>
        <w:ind w:firstLine="540" w:firstLineChars="225"/>
        <w:rPr>
          <w:rFonts w:hAnsi="宋体" w:cs="宋体"/>
          <w:szCs w:val="20"/>
        </w:rPr>
      </w:pPr>
      <w:bookmarkStart w:id="24" w:name="_Toc244418545"/>
      <w:r>
        <w:rPr>
          <w:rFonts w:hint="eastAsia" w:ascii="宋体" w:hAnsi="宋体" w:cs="宋体"/>
          <w:snapToGrid w:val="0"/>
          <w:color w:val="000000"/>
          <w:kern w:val="0"/>
          <w:szCs w:val="20"/>
          <w:lang w:bidi="ar"/>
        </w:rPr>
        <w:t>提交服务成果，包括（但不限于以下内容）：</w:t>
      </w:r>
    </w:p>
    <w:p>
      <w:pPr>
        <w:widowControl/>
        <w:numPr>
          <w:ilvl w:val="0"/>
          <w:numId w:val="2"/>
        </w:numPr>
        <w:autoSpaceDN w:val="0"/>
        <w:adjustRightInd w:val="0"/>
        <w:snapToGrid w:val="0"/>
        <w:rPr>
          <w:rFonts w:hAnsi="宋体" w:cs="宋体"/>
          <w:szCs w:val="20"/>
        </w:rPr>
      </w:pPr>
      <w:r>
        <w:rPr>
          <w:rFonts w:hint="eastAsia" w:ascii="宋体" w:hAnsi="宋体" w:cs="宋体"/>
          <w:snapToGrid w:val="0"/>
          <w:color w:val="000000"/>
          <w:kern w:val="0"/>
          <w:szCs w:val="20"/>
          <w:lang w:bidi="ar"/>
        </w:rPr>
        <w:t>《网络安全等级保护测评报告》；</w:t>
      </w:r>
    </w:p>
    <w:p>
      <w:pPr>
        <w:widowControl/>
        <w:numPr>
          <w:ilvl w:val="0"/>
          <w:numId w:val="2"/>
        </w:numPr>
        <w:autoSpaceDN w:val="0"/>
        <w:adjustRightInd w:val="0"/>
        <w:snapToGrid w:val="0"/>
        <w:rPr>
          <w:rFonts w:hAnsi="宋体" w:cs="宋体"/>
          <w:szCs w:val="20"/>
        </w:rPr>
      </w:pPr>
      <w:r>
        <w:rPr>
          <w:rFonts w:hint="eastAsia" w:ascii="宋体" w:hAnsi="宋体" w:cs="宋体"/>
          <w:snapToGrid w:val="0"/>
          <w:color w:val="000000"/>
          <w:kern w:val="0"/>
          <w:szCs w:val="20"/>
          <w:lang w:bidi="ar"/>
        </w:rPr>
        <w:t>《网络安全整改建议方案》</w:t>
      </w:r>
    </w:p>
    <w:p>
      <w:pPr>
        <w:widowControl/>
        <w:numPr>
          <w:ilvl w:val="0"/>
          <w:numId w:val="2"/>
        </w:numPr>
        <w:autoSpaceDN w:val="0"/>
        <w:adjustRightInd w:val="0"/>
        <w:snapToGrid w:val="0"/>
        <w:rPr>
          <w:rFonts w:hAnsi="宋体" w:cs="宋体"/>
          <w:szCs w:val="20"/>
        </w:rPr>
      </w:pPr>
      <w:r>
        <w:rPr>
          <w:rFonts w:hint="eastAsia" w:ascii="宋体" w:hAnsi="宋体" w:cs="宋体"/>
          <w:snapToGrid w:val="0"/>
          <w:color w:val="000000"/>
          <w:kern w:val="0"/>
          <w:szCs w:val="20"/>
          <w:lang w:bidi="ar"/>
        </w:rPr>
        <w:t>提供测评过程相关文件，包括调研表、技术测评记录、会议纪要等。</w:t>
      </w:r>
    </w:p>
    <w:p>
      <w:pPr>
        <w:widowControl/>
        <w:autoSpaceDE w:val="0"/>
        <w:autoSpaceDN w:val="0"/>
        <w:adjustRightInd w:val="0"/>
        <w:snapToGrid w:val="0"/>
        <w:outlineLvl w:val="1"/>
        <w:rPr>
          <w:rFonts w:hint="eastAsia" w:ascii="宋体" w:hAnsi="宋体"/>
          <w:b/>
          <w:snapToGrid w:val="0"/>
          <w:color w:val="000000"/>
          <w:kern w:val="0"/>
          <w:szCs w:val="20"/>
          <w:lang w:bidi="ar"/>
        </w:rPr>
      </w:pPr>
      <w:r>
        <w:rPr>
          <w:rFonts w:hint="eastAsia" w:ascii="宋体" w:hAnsi="宋体"/>
          <w:b/>
          <w:snapToGrid w:val="0"/>
          <w:color w:val="000000"/>
          <w:kern w:val="0"/>
          <w:szCs w:val="20"/>
          <w:lang w:bidi="ar"/>
        </w:rPr>
        <w:t>（3）服务质量</w:t>
      </w:r>
    </w:p>
    <w:p>
      <w:pPr>
        <w:pStyle w:val="17"/>
        <w:ind w:firstLine="480"/>
        <w:rPr>
          <w:rFonts w:hint="eastAsia"/>
        </w:rPr>
      </w:pPr>
      <w:r>
        <w:rPr>
          <w:rFonts w:hint="eastAsia"/>
        </w:rPr>
        <w:t>供应商应严格按照《中华人民共和国网络安全法》信息技术服管理体系等国家相关标准和规范开展等保测评工作，确保工作质量。提供的测评报告应内容完整、数据准确、结论明确，能够真实反映信息系统的安全状况，并为后续整改工作提供有力支持。在服务过程中，供应商应及时向本单位反馈工作进展情况，解答本单位提出的疑问。</w:t>
      </w:r>
    </w:p>
    <w:p>
      <w:pPr>
        <w:widowControl/>
        <w:autoSpaceDE w:val="0"/>
        <w:autoSpaceDN w:val="0"/>
        <w:adjustRightInd w:val="0"/>
        <w:snapToGrid w:val="0"/>
        <w:outlineLvl w:val="1"/>
        <w:rPr>
          <w:rFonts w:hint="eastAsia" w:ascii="宋体" w:hAnsi="宋体"/>
          <w:b/>
          <w:snapToGrid w:val="0"/>
          <w:color w:val="000000"/>
          <w:kern w:val="0"/>
          <w:szCs w:val="20"/>
          <w:lang w:bidi="ar"/>
        </w:rPr>
      </w:pPr>
      <w:r>
        <w:rPr>
          <w:rFonts w:hint="eastAsia" w:ascii="宋体" w:hAnsi="宋体"/>
          <w:b/>
          <w:snapToGrid w:val="0"/>
          <w:color w:val="000000"/>
          <w:kern w:val="0"/>
          <w:szCs w:val="20"/>
          <w:lang w:bidi="ar"/>
        </w:rPr>
        <w:t>（4）保密要求</w:t>
      </w:r>
    </w:p>
    <w:p>
      <w:pPr>
        <w:pStyle w:val="17"/>
        <w:ind w:firstLine="480"/>
        <w:rPr>
          <w:rFonts w:hint="eastAsia"/>
        </w:rPr>
      </w:pPr>
      <w:r>
        <w:rPr>
          <w:rFonts w:hint="eastAsia"/>
        </w:rPr>
        <w:t>供应商应对在服务过程中知悉的本单位信息系统相关信息、业务数据、商业秘密等严格保密，签订保密协议，采取有效的保密措施，防止信息泄露。未经本单位书面同意，不得向任何第三方披露相关信息。</w:t>
      </w:r>
    </w:p>
    <w:bookmarkEnd w:id="24"/>
    <w:p>
      <w:pPr>
        <w:widowControl/>
        <w:autoSpaceDE w:val="0"/>
        <w:autoSpaceDN w:val="0"/>
        <w:adjustRightInd w:val="0"/>
        <w:snapToGrid w:val="0"/>
        <w:outlineLvl w:val="1"/>
        <w:rPr>
          <w:rFonts w:hAnsi="宋体"/>
          <w:b/>
          <w:szCs w:val="20"/>
        </w:rPr>
      </w:pPr>
      <w:r>
        <w:rPr>
          <w:rFonts w:hint="eastAsia" w:ascii="宋体" w:hAnsi="宋体"/>
          <w:b/>
          <w:snapToGrid w:val="0"/>
          <w:color w:val="000000"/>
          <w:kern w:val="0"/>
          <w:szCs w:val="20"/>
          <w:lang w:bidi="ar"/>
        </w:rPr>
        <w:t>（5）售后服务及其它要求</w:t>
      </w:r>
    </w:p>
    <w:p>
      <w:pPr>
        <w:widowControl/>
        <w:autoSpaceDE w:val="0"/>
        <w:autoSpaceDN w:val="0"/>
        <w:adjustRightInd w:val="0"/>
        <w:snapToGrid w:val="0"/>
        <w:ind w:firstLine="540" w:firstLineChars="225"/>
        <w:rPr>
          <w:rFonts w:hAnsi="宋体" w:cs="宋体"/>
          <w:szCs w:val="20"/>
        </w:rPr>
      </w:pPr>
      <w:r>
        <w:rPr>
          <w:rFonts w:hint="eastAsia" w:ascii="宋体" w:hAnsi="宋体" w:cs="宋体"/>
          <w:snapToGrid w:val="0"/>
          <w:color w:val="000000"/>
          <w:kern w:val="0"/>
          <w:szCs w:val="20"/>
          <w:lang w:bidi="ar"/>
        </w:rPr>
        <w:t>供应商必须提供详细的技术支持和服务方案，技术支持和服务方案包括（但不限于）：</w:t>
      </w:r>
    </w:p>
    <w:p>
      <w:pPr>
        <w:pStyle w:val="17"/>
        <w:ind w:firstLine="480"/>
      </w:pPr>
      <w:r>
        <w:rPr>
          <w:rFonts w:hint="eastAsia"/>
        </w:rPr>
        <w:t>（1）如在测评中出现不符合项，</w:t>
      </w:r>
      <w:r>
        <w:rPr>
          <w:rFonts w:hint="eastAsia"/>
          <w:lang w:val="en-US" w:eastAsia="zh-CN"/>
        </w:rPr>
        <w:t>供应商</w:t>
      </w:r>
      <w:r>
        <w:rPr>
          <w:rFonts w:hint="eastAsia"/>
        </w:rPr>
        <w:t>需要提供相应的整改建议及相关方案。对于测评中发现的主机和网络设备漏洞，投标方应提供项目验收后一年的跟踪服务，对本次评估范围内的问题提供远程技术咨询，对于漏洞的修补、问题的排除给出建议和指导，自项目验收通过之日起计算。</w:t>
      </w:r>
    </w:p>
    <w:p>
      <w:r>
        <w:rPr>
          <w:rFonts w:hint="eastAsia"/>
        </w:rPr>
        <w:t>（2）提供及时有效的售后服务，</w:t>
      </w:r>
      <w:r>
        <w:rPr>
          <w:rFonts w:hint="eastAsia"/>
          <w:lang w:val="en-US" w:eastAsia="zh-CN"/>
        </w:rPr>
        <w:t>供应商</w:t>
      </w:r>
      <w:r>
        <w:rPr>
          <w:rFonts w:hint="eastAsia"/>
        </w:rPr>
        <w:t>在海南设置有不少5名技术人员的售后服务技术支持团队，并承诺提供的售后保障计划应包含7*24小时的技术支持服务，</w:t>
      </w:r>
      <w:bookmarkStart w:id="25" w:name="_Hlk71531993"/>
      <w:r>
        <w:rPr>
          <w:rFonts w:hint="eastAsia"/>
        </w:rPr>
        <w:t>重大活动期间提供现场的技术支持服务，针对突发应急事件提供2小时内到现场处置的服务响应保障，</w:t>
      </w:r>
      <w:bookmarkEnd w:id="25"/>
      <w:r>
        <w:rPr>
          <w:rFonts w:hint="eastAsia"/>
        </w:rPr>
        <w:t>问题解决后24小时内，提交问题处理报告，说明问题种类、问题原因、问题解决中使用的方法及造成的损失等情况。提供承诺函。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12CEF"/>
    <w:multiLevelType w:val="multilevel"/>
    <w:tmpl w:val="B1512CEF"/>
    <w:lvl w:ilvl="0" w:tentative="0">
      <w:start w:val="1"/>
      <w:numFmt w:val="bullet"/>
      <w:lvlText w:val=""/>
      <w:lvlJc w:val="left"/>
      <w:pPr>
        <w:tabs>
          <w:tab w:val="left" w:pos="374"/>
        </w:tabs>
        <w:ind w:left="374" w:hanging="374"/>
      </w:pPr>
      <w:rPr>
        <w:rFonts w:hint="default" w:ascii="Wingdings" w:hAnsi="Wingdings" w:cs="Wingdings"/>
        <w:b/>
        <w:i w:val="0"/>
        <w:sz w:val="21"/>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5AC33B53"/>
    <w:multiLevelType w:val="multilevel"/>
    <w:tmpl w:val="5AC33B53"/>
    <w:lvl w:ilvl="0" w:tentative="0">
      <w:start w:val="1"/>
      <w:numFmt w:val="bullet"/>
      <w:lvlText w:val=""/>
      <w:lvlJc w:val="left"/>
      <w:pPr>
        <w:ind w:left="925" w:hanging="440"/>
      </w:pPr>
      <w:rPr>
        <w:rFonts w:hint="default" w:ascii="Wingdings" w:hAnsi="Wingdings" w:cs="Wingdings"/>
      </w:rPr>
    </w:lvl>
    <w:lvl w:ilvl="1" w:tentative="0">
      <w:start w:val="1"/>
      <w:numFmt w:val="bullet"/>
      <w:lvlText w:val=""/>
      <w:lvlJc w:val="left"/>
      <w:pPr>
        <w:ind w:left="1365" w:hanging="440"/>
      </w:pPr>
      <w:rPr>
        <w:rFonts w:hint="default" w:ascii="Wingdings" w:hAnsi="Wingdings" w:cs="Wingdings"/>
      </w:rPr>
    </w:lvl>
    <w:lvl w:ilvl="2" w:tentative="0">
      <w:start w:val="1"/>
      <w:numFmt w:val="bullet"/>
      <w:lvlText w:val=""/>
      <w:lvlJc w:val="left"/>
      <w:pPr>
        <w:ind w:left="1805" w:hanging="440"/>
      </w:pPr>
      <w:rPr>
        <w:rFonts w:hint="default" w:ascii="Wingdings" w:hAnsi="Wingdings" w:cs="Wingdings"/>
      </w:rPr>
    </w:lvl>
    <w:lvl w:ilvl="3" w:tentative="0">
      <w:start w:val="1"/>
      <w:numFmt w:val="bullet"/>
      <w:lvlText w:val=""/>
      <w:lvlJc w:val="left"/>
      <w:pPr>
        <w:ind w:left="2245" w:hanging="440"/>
      </w:pPr>
      <w:rPr>
        <w:rFonts w:hint="default" w:ascii="Wingdings" w:hAnsi="Wingdings" w:cs="Wingdings"/>
      </w:rPr>
    </w:lvl>
    <w:lvl w:ilvl="4" w:tentative="0">
      <w:start w:val="1"/>
      <w:numFmt w:val="bullet"/>
      <w:lvlText w:val=""/>
      <w:lvlJc w:val="left"/>
      <w:pPr>
        <w:ind w:left="2685" w:hanging="440"/>
      </w:pPr>
      <w:rPr>
        <w:rFonts w:hint="default" w:ascii="Wingdings" w:hAnsi="Wingdings" w:cs="Wingdings"/>
      </w:rPr>
    </w:lvl>
    <w:lvl w:ilvl="5" w:tentative="0">
      <w:start w:val="1"/>
      <w:numFmt w:val="bullet"/>
      <w:lvlText w:val=""/>
      <w:lvlJc w:val="left"/>
      <w:pPr>
        <w:ind w:left="3125" w:hanging="440"/>
      </w:pPr>
      <w:rPr>
        <w:rFonts w:hint="default" w:ascii="Wingdings" w:hAnsi="Wingdings" w:cs="Wingdings"/>
      </w:rPr>
    </w:lvl>
    <w:lvl w:ilvl="6" w:tentative="0">
      <w:start w:val="1"/>
      <w:numFmt w:val="bullet"/>
      <w:lvlText w:val=""/>
      <w:lvlJc w:val="left"/>
      <w:pPr>
        <w:ind w:left="3565" w:hanging="440"/>
      </w:pPr>
      <w:rPr>
        <w:rFonts w:hint="default" w:ascii="Wingdings" w:hAnsi="Wingdings" w:cs="Wingdings"/>
      </w:rPr>
    </w:lvl>
    <w:lvl w:ilvl="7" w:tentative="0">
      <w:start w:val="1"/>
      <w:numFmt w:val="bullet"/>
      <w:lvlText w:val=""/>
      <w:lvlJc w:val="left"/>
      <w:pPr>
        <w:ind w:left="4005" w:hanging="440"/>
      </w:pPr>
      <w:rPr>
        <w:rFonts w:hint="default" w:ascii="Wingdings" w:hAnsi="Wingdings" w:cs="Wingdings"/>
      </w:rPr>
    </w:lvl>
    <w:lvl w:ilvl="8" w:tentative="0">
      <w:start w:val="1"/>
      <w:numFmt w:val="bullet"/>
      <w:lvlText w:val=""/>
      <w:lvlJc w:val="left"/>
      <w:pPr>
        <w:ind w:left="4445" w:hanging="44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A66A3"/>
    <w:rsid w:val="08153CC4"/>
    <w:rsid w:val="087A66A3"/>
    <w:rsid w:val="21C24E71"/>
    <w:rsid w:val="242B5451"/>
    <w:rsid w:val="29BA1489"/>
    <w:rsid w:val="37BD1351"/>
    <w:rsid w:val="41FF45B0"/>
    <w:rsid w:val="468531C2"/>
    <w:rsid w:val="47AD0F98"/>
    <w:rsid w:val="49CA61CE"/>
    <w:rsid w:val="4F1801C5"/>
    <w:rsid w:val="519E7677"/>
    <w:rsid w:val="535A3493"/>
    <w:rsid w:val="5D1F0B2B"/>
    <w:rsid w:val="6BAE017C"/>
    <w:rsid w:val="71316B42"/>
    <w:rsid w:val="714F3527"/>
    <w:rsid w:val="74D55167"/>
    <w:rsid w:val="78D225F6"/>
    <w:rsid w:val="79231CC3"/>
    <w:rsid w:val="FF7AA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3">
    <w:name w:val="heading 1"/>
    <w:basedOn w:val="1"/>
    <w:next w:val="1"/>
    <w:link w:val="16"/>
    <w:qFormat/>
    <w:uiPriority w:val="0"/>
    <w:pPr>
      <w:spacing w:before="0" w:beforeAutospacing="0" w:after="0" w:afterAutospacing="0"/>
      <w:jc w:val="left"/>
      <w:outlineLvl w:val="0"/>
    </w:pPr>
    <w:rPr>
      <w:rFonts w:ascii="宋体" w:hAnsi="宋体" w:eastAsia="宋体" w:cs="宋体"/>
      <w:b/>
      <w:bCs/>
      <w:kern w:val="44"/>
      <w:sz w:val="32"/>
      <w:szCs w:val="48"/>
      <w:lang w:bidi="ar"/>
    </w:rPr>
  </w:style>
  <w:style w:type="paragraph" w:styleId="4">
    <w:name w:val="heading 2"/>
    <w:basedOn w:val="1"/>
    <w:next w:val="1"/>
    <w:semiHidden/>
    <w:unhideWhenUsed/>
    <w:qFormat/>
    <w:uiPriority w:val="0"/>
    <w:pPr>
      <w:keepNext/>
      <w:keepLines/>
      <w:spacing w:beforeLines="0" w:beforeAutospacing="0" w:afterLines="0" w:afterAutospacing="0" w:line="360" w:lineRule="auto"/>
      <w:outlineLvl w:val="1"/>
    </w:pPr>
    <w:rPr>
      <w:rFonts w:ascii="宋体" w:hAnsi="宋体" w:eastAsia="宋体" w:cs="Times New Roman"/>
      <w:b/>
      <w:sz w:val="30"/>
    </w:rPr>
  </w:style>
  <w:style w:type="paragraph" w:styleId="5">
    <w:name w:val="heading 3"/>
    <w:basedOn w:val="1"/>
    <w:next w:val="1"/>
    <w:link w:val="15"/>
    <w:semiHidden/>
    <w:unhideWhenUsed/>
    <w:qFormat/>
    <w:uiPriority w:val="0"/>
    <w:pPr>
      <w:keepNext/>
      <w:keepLines/>
      <w:spacing w:beforeLines="0" w:beforeAutospacing="0" w:afterLines="0" w:afterAutospacing="0" w:line="360" w:lineRule="auto"/>
      <w:ind w:firstLine="0" w:firstLineChars="0"/>
      <w:jc w:val="left"/>
      <w:outlineLvl w:val="2"/>
    </w:pPr>
    <w:rPr>
      <w:rFonts w:ascii="宋体" w:hAnsi="宋体" w:eastAsia="宋体" w:cs="Times New Roman"/>
      <w:b/>
      <w:sz w:val="28"/>
    </w:rPr>
  </w:style>
  <w:style w:type="paragraph" w:styleId="6">
    <w:name w:val="heading 4"/>
    <w:basedOn w:val="1"/>
    <w:next w:val="1"/>
    <w:semiHidden/>
    <w:unhideWhenUsed/>
    <w:qFormat/>
    <w:uiPriority w:val="0"/>
    <w:pPr>
      <w:keepNext/>
      <w:keepLines/>
      <w:spacing w:beforeLines="0" w:beforeAutospacing="0" w:afterLines="0" w:afterAutospacing="0" w:line="360" w:lineRule="auto"/>
      <w:outlineLvl w:val="3"/>
    </w:pPr>
    <w:rPr>
      <w:rFonts w:ascii="宋体" w:hAnsi="宋体" w:eastAsia="宋体" w:cs="Times New Roman"/>
      <w:b/>
      <w:sz w:val="28"/>
    </w:rPr>
  </w:style>
  <w:style w:type="paragraph" w:styleId="7">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eastAsia="宋体" w:cs="Times New Roman"/>
      <w:b/>
      <w:sz w:val="28"/>
    </w:rPr>
  </w:style>
  <w:style w:type="paragraph" w:styleId="8">
    <w:name w:val="heading 6"/>
    <w:basedOn w:val="1"/>
    <w:next w:val="1"/>
    <w:semiHidden/>
    <w:unhideWhenUsed/>
    <w:qFormat/>
    <w:uiPriority w:val="0"/>
    <w:pPr>
      <w:keepNext/>
      <w:keepLines/>
      <w:spacing w:beforeLines="0" w:beforeAutospacing="0" w:afterLines="0" w:afterAutospacing="0" w:line="360" w:lineRule="auto"/>
      <w:jc w:val="left"/>
      <w:outlineLvl w:val="5"/>
    </w:pPr>
    <w:rPr>
      <w:rFonts w:ascii="宋体" w:hAnsi="宋体" w:eastAsia="宋体" w:cs="Times New Roman"/>
      <w:b/>
      <w:kern w:val="2"/>
      <w:sz w:val="28"/>
      <w:szCs w:val="24"/>
      <w:lang w:eastAsia="zh-CN"/>
    </w:rPr>
  </w:style>
  <w:style w:type="paragraph" w:styleId="9">
    <w:name w:val="heading 7"/>
    <w:basedOn w:val="1"/>
    <w:next w:val="1"/>
    <w:semiHidden/>
    <w:unhideWhenUsed/>
    <w:qFormat/>
    <w:uiPriority w:val="0"/>
    <w:pPr>
      <w:keepNext/>
      <w:keepLines/>
      <w:spacing w:beforeLines="0" w:beforeAutospacing="0" w:afterLines="0" w:afterAutospacing="0" w:line="360" w:lineRule="auto"/>
      <w:outlineLvl w:val="6"/>
    </w:pPr>
    <w:rPr>
      <w:rFonts w:ascii="宋体" w:hAnsi="宋体" w:eastAsia="宋体" w:cs="Times New Roman"/>
      <w:b/>
    </w:rPr>
  </w:style>
  <w:style w:type="paragraph" w:styleId="10">
    <w:name w:val="heading 8"/>
    <w:basedOn w:val="1"/>
    <w:next w:val="1"/>
    <w:semiHidden/>
    <w:unhideWhenUsed/>
    <w:qFormat/>
    <w:uiPriority w:val="0"/>
    <w:pPr>
      <w:keepNext/>
      <w:keepLines/>
      <w:spacing w:beforeLines="0" w:beforeAutospacing="0" w:afterLines="0" w:afterAutospacing="0" w:line="360" w:lineRule="auto"/>
      <w:outlineLvl w:val="7"/>
    </w:pPr>
    <w:rPr>
      <w:rFonts w:ascii="宋体" w:hAnsi="宋体" w:eastAsia="宋体" w:cs="Times New Roman"/>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cs="Times New Roman"/>
      <w:kern w:val="0"/>
    </w:rPr>
  </w:style>
  <w:style w:type="paragraph" w:styleId="11">
    <w:name w:val="footer"/>
    <w:basedOn w:val="1"/>
    <w:qFormat/>
    <w:uiPriority w:val="0"/>
    <w:pPr>
      <w:tabs>
        <w:tab w:val="center" w:pos="4153"/>
        <w:tab w:val="right" w:pos="8306"/>
      </w:tabs>
      <w:snapToGrid w:val="0"/>
      <w:jc w:val="left"/>
    </w:pPr>
    <w:rPr>
      <w:sz w:val="18"/>
    </w:rPr>
  </w:style>
  <w:style w:type="character" w:customStyle="1" w:styleId="14">
    <w:name w:val="标题 1 Char"/>
    <w:link w:val="3"/>
    <w:qFormat/>
    <w:uiPriority w:val="0"/>
    <w:rPr>
      <w:rFonts w:hint="default" w:ascii="宋体" w:hAnsi="宋体" w:eastAsia="宋体" w:cs="宋体"/>
      <w:b/>
      <w:bCs/>
      <w:kern w:val="44"/>
      <w:sz w:val="32"/>
      <w:szCs w:val="48"/>
      <w:lang w:val="en-US" w:eastAsia="zh-CN" w:bidi="ar"/>
    </w:rPr>
  </w:style>
  <w:style w:type="character" w:customStyle="1" w:styleId="15">
    <w:name w:val="标题 3 Char"/>
    <w:link w:val="5"/>
    <w:qFormat/>
    <w:uiPriority w:val="0"/>
    <w:rPr>
      <w:rFonts w:ascii="宋体" w:hAnsi="宋体" w:eastAsia="宋体" w:cs="Times New Roman"/>
      <w:b/>
      <w:sz w:val="28"/>
    </w:rPr>
  </w:style>
  <w:style w:type="character" w:customStyle="1" w:styleId="16">
    <w:name w:val="标题 1 Char1"/>
    <w:link w:val="3"/>
    <w:qFormat/>
    <w:locked/>
    <w:uiPriority w:val="0"/>
    <w:rPr>
      <w:b/>
      <w:bCs/>
      <w:kern w:val="44"/>
      <w:sz w:val="44"/>
      <w:szCs w:val="44"/>
    </w:rPr>
  </w:style>
  <w:style w:type="paragraph" w:customStyle="1" w:styleId="17">
    <w:name w:val="正文(正邦安全)"/>
    <w:basedOn w:val="1"/>
    <w:qFormat/>
    <w:uiPriority w:val="0"/>
    <w:pPr>
      <w:spacing w:line="360" w:lineRule="auto"/>
      <w:ind w:firstLine="1041" w:firstLineChars="200"/>
    </w:pPr>
    <w:rPr>
      <w:rFonts w:ascii="Times New Roman" w:hAnsi="Times New Roman" w:eastAsia="宋体" w:cs="Times New Roman"/>
      <w:kern w:val="2"/>
      <w:sz w:val="24"/>
      <w:szCs w:val="24"/>
      <w:lang w:eastAsia="zh-CN"/>
    </w:rPr>
  </w:style>
  <w:style w:type="paragraph" w:customStyle="1" w:styleId="18">
    <w:name w:val="msolistparagraph"/>
    <w:basedOn w:val="1"/>
    <w:qFormat/>
    <w:uiPriority w:val="0"/>
    <w:pPr>
      <w:keepNext w:val="0"/>
      <w:keepLines w:val="0"/>
      <w:widowControl w:val="0"/>
      <w:suppressLineNumbers w:val="0"/>
      <w:autoSpaceDE/>
      <w:autoSpaceDN/>
      <w:adjustRightInd/>
      <w:spacing w:before="0" w:beforeAutospacing="0" w:after="0" w:afterAutospacing="0" w:line="240" w:lineRule="auto"/>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19">
    <w:name w:val="表格正文1(正邦安全)"/>
    <w:basedOn w:val="1"/>
    <w:next w:val="1"/>
    <w:qFormat/>
    <w:uiPriority w:val="0"/>
    <w:pPr>
      <w:widowControl/>
    </w:pPr>
    <w:rPr>
      <w:rFonts w:ascii="宋体" w:hAnsi="宋体" w:eastAsia="宋体" w:cs="Times New Roman"/>
      <w:kern w:val="0"/>
      <w:sz w:val="24"/>
      <w:szCs w:val="2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33</TotalTime>
  <ScaleCrop>false</ScaleCrop>
  <LinksUpToDate>false</LinksUpToDate>
  <CharactersWithSpaces>0</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2026-03-26T17:35:00Z</dcterms:created>
  <dc:creator>GOT77777</dc:creator>
  <cp:lastModifiedBy>哆芈猪</cp:lastModifiedBy>
  <dcterms:modified xsi:type="dcterms:W3CDTF">2026-03-27T11:54:16Z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CDB075C90163CFECE6FEC569E8A41596_43</vt:lpwstr>
  </property>
  <property fmtid="{D5CDD505-2E9C-101B-9397-08002B2CF9AE}" pid="4" name="KSOTemplateDocerSaveRecord">
    <vt:lpwstr>eyJoZGlkIjoiNTg1NTM4MDUyNmU5MWM4ZTU4YmM3MjFiMmZmMjA5MzgiLCJ1c2VySWQiOiI2Mzk0NjQ3MzMifQ==</vt:lpwstr>
  </property>
</Properties>
</file>