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80" w:lineRule="auto"/>
        <w:rPr>
          <w:rFonts w:ascii="Arial"/>
          <w:sz w:val="21"/>
        </w:rPr>
      </w:pPr>
      <w:r/>
    </w:p>
    <w:p>
      <w:pPr>
        <w:pStyle w:val="BodyText"/>
        <w:ind w:left="2394"/>
        <w:spacing w:before="140" w:line="222" w:lineRule="auto"/>
        <w:outlineLvl w:val="0"/>
        <w:rPr>
          <w:sz w:val="43"/>
          <w:szCs w:val="43"/>
        </w:rPr>
      </w:pPr>
      <w:r>
        <w:rPr>
          <w:sz w:val="43"/>
          <w:szCs w:val="43"/>
          <w:b/>
          <w:bCs/>
          <w:spacing w:val="4"/>
        </w:rPr>
        <w:t>第五部分</w:t>
      </w:r>
      <w:r>
        <w:rPr>
          <w:sz w:val="43"/>
          <w:szCs w:val="43"/>
          <w:spacing w:val="4"/>
        </w:rPr>
        <w:t xml:space="preserve">  </w:t>
      </w:r>
      <w:r>
        <w:rPr>
          <w:sz w:val="43"/>
          <w:szCs w:val="43"/>
          <w:b/>
          <w:bCs/>
          <w:spacing w:val="4"/>
        </w:rPr>
        <w:t>采购需求</w:t>
      </w:r>
    </w:p>
    <w:p>
      <w:pPr>
        <w:pStyle w:val="BodyText"/>
        <w:ind w:left="576"/>
        <w:spacing w:before="246" w:line="220" w:lineRule="auto"/>
        <w:outlineLvl w:val="1"/>
        <w:rPr>
          <w:sz w:val="28"/>
          <w:szCs w:val="28"/>
        </w:rPr>
      </w:pPr>
      <w:r>
        <w:rPr>
          <w:sz w:val="28"/>
          <w:szCs w:val="28"/>
          <w:b/>
          <w:bCs/>
          <w:spacing w:val="-5"/>
        </w:rPr>
        <w:t>一、项目概况</w:t>
      </w:r>
    </w:p>
    <w:p>
      <w:pPr>
        <w:pStyle w:val="BodyText"/>
        <w:ind w:left="506"/>
        <w:spacing w:before="231" w:line="219" w:lineRule="auto"/>
        <w:rPr/>
      </w:pPr>
      <w:r>
        <w:rPr>
          <w:spacing w:val="-1"/>
        </w:rPr>
        <w:t>1、项目名称：海南西部中心医院供应室过氧化氢低温等离子灭菌器维保；</w:t>
      </w:r>
    </w:p>
    <w:p>
      <w:pPr>
        <w:pStyle w:val="BodyText"/>
        <w:ind w:left="491"/>
        <w:spacing w:before="184" w:line="219" w:lineRule="auto"/>
        <w:rPr/>
      </w:pPr>
      <w:r>
        <w:rPr>
          <w:spacing w:val="-1"/>
        </w:rPr>
        <w:t>2、项目单位：海南西部中心医院；</w:t>
      </w:r>
    </w:p>
    <w:p>
      <w:pPr>
        <w:pStyle w:val="BodyText"/>
        <w:ind w:left="493"/>
        <w:spacing w:before="183" w:line="219" w:lineRule="auto"/>
        <w:rPr/>
      </w:pPr>
      <w:r>
        <w:rPr>
          <w:spacing w:val="-1"/>
        </w:rPr>
        <w:t>3、项目编号：HNZY2024-093；</w:t>
      </w:r>
    </w:p>
    <w:p>
      <w:pPr>
        <w:pStyle w:val="BodyText"/>
        <w:ind w:left="487"/>
        <w:spacing w:before="183" w:line="219" w:lineRule="auto"/>
        <w:rPr/>
      </w:pPr>
      <w:r>
        <w:rPr>
          <w:spacing w:val="-2"/>
        </w:rPr>
        <w:t>4、项目预算：19.38</w:t>
      </w:r>
      <w:r>
        <w:rPr>
          <w:spacing w:val="-44"/>
        </w:rPr>
        <w:t xml:space="preserve"> </w:t>
      </w:r>
      <w:r>
        <w:rPr>
          <w:spacing w:val="-2"/>
        </w:rPr>
        <w:t>万元/3</w:t>
      </w:r>
      <w:r>
        <w:rPr>
          <w:spacing w:val="-50"/>
        </w:rPr>
        <w:t xml:space="preserve"> </w:t>
      </w:r>
      <w:r>
        <w:rPr>
          <w:spacing w:val="-2"/>
        </w:rPr>
        <w:t>年；</w:t>
      </w:r>
    </w:p>
    <w:p>
      <w:pPr>
        <w:pStyle w:val="BodyText"/>
        <w:ind w:left="493"/>
        <w:spacing w:before="183" w:line="219" w:lineRule="auto"/>
        <w:rPr/>
      </w:pPr>
      <w:r>
        <w:rPr>
          <w:spacing w:val="-4"/>
        </w:rPr>
        <w:t>5、服务期限：</w:t>
      </w:r>
      <w:r>
        <w:rPr>
          <w:spacing w:val="-64"/>
        </w:rPr>
        <w:t xml:space="preserve"> </w:t>
      </w:r>
      <w:r>
        <w:rPr>
          <w:spacing w:val="-4"/>
        </w:rPr>
        <w:t>自合同签订之日起三年；</w:t>
      </w:r>
    </w:p>
    <w:p>
      <w:pPr>
        <w:pStyle w:val="BodyText"/>
        <w:ind w:left="490"/>
        <w:spacing w:before="182" w:line="219" w:lineRule="auto"/>
        <w:rPr/>
      </w:pPr>
      <w:r>
        <w:rPr>
          <w:spacing w:val="-1"/>
        </w:rPr>
        <w:t>6、付款方式：根据采购双方商定的结算方式付款；</w:t>
      </w:r>
    </w:p>
    <w:p>
      <w:pPr>
        <w:pStyle w:val="BodyText"/>
        <w:ind w:left="6" w:right="80" w:firstLine="487"/>
        <w:spacing w:before="183" w:line="290" w:lineRule="auto"/>
        <w:rPr/>
      </w:pPr>
      <w:r>
        <w:rPr>
          <w:spacing w:val="-1"/>
        </w:rPr>
        <w:t>7、验收标准：按国家行业标准以及磋商文件与响应文件约定</w:t>
      </w:r>
      <w:r>
        <w:rPr>
          <w:spacing w:val="-2"/>
        </w:rPr>
        <w:t>技术参数指标由采</w:t>
      </w:r>
      <w:r>
        <w:rPr/>
        <w:t xml:space="preserve"> </w:t>
      </w:r>
      <w:r>
        <w:rPr>
          <w:spacing w:val="-2"/>
        </w:rPr>
        <w:t>购人组织验收。</w:t>
      </w:r>
    </w:p>
    <w:p>
      <w:pPr>
        <w:pStyle w:val="BodyText"/>
        <w:ind w:left="576"/>
        <w:spacing w:before="242" w:line="220" w:lineRule="auto"/>
        <w:outlineLvl w:val="1"/>
        <w:rPr>
          <w:sz w:val="28"/>
          <w:szCs w:val="28"/>
        </w:rPr>
      </w:pPr>
      <w:r>
        <w:rPr>
          <w:sz w:val="28"/>
          <w:szCs w:val="28"/>
          <w:b/>
          <w:bCs/>
          <w:spacing w:val="-5"/>
        </w:rPr>
        <w:t>二、维保内容</w:t>
      </w:r>
    </w:p>
    <w:p>
      <w:pPr>
        <w:spacing w:line="247" w:lineRule="auto"/>
        <w:rPr>
          <w:rFonts w:ascii="Arial"/>
          <w:sz w:val="21"/>
        </w:rPr>
      </w:pPr>
      <w:r/>
    </w:p>
    <w:p>
      <w:pPr>
        <w:pStyle w:val="BodyText"/>
        <w:ind w:left="20" w:right="80" w:firstLine="485"/>
        <w:spacing w:before="78" w:line="290" w:lineRule="auto"/>
        <w:rPr/>
      </w:pPr>
      <w:r>
        <w:rPr>
          <w:spacing w:val="-4"/>
        </w:rPr>
        <w:t>1、本单位在用的</w:t>
      </w:r>
      <w:r>
        <w:rPr>
          <w:spacing w:val="-21"/>
        </w:rPr>
        <w:t xml:space="preserve"> </w:t>
      </w:r>
      <w:r>
        <w:rPr>
          <w:spacing w:val="-4"/>
        </w:rPr>
        <w:t>1</w:t>
      </w:r>
      <w:r>
        <w:rPr>
          <w:spacing w:val="-31"/>
        </w:rPr>
        <w:t xml:space="preserve"> </w:t>
      </w:r>
      <w:r>
        <w:rPr>
          <w:spacing w:val="-4"/>
        </w:rPr>
        <w:t>台过氧化氢低温等离子灭菌器（型号</w:t>
      </w:r>
      <w:r>
        <w:rPr>
          <w:spacing w:val="-50"/>
        </w:rPr>
        <w:t xml:space="preserve"> </w:t>
      </w:r>
      <w:r>
        <w:rPr>
          <w:spacing w:val="-4"/>
        </w:rPr>
        <w:t>Sterrad</w:t>
      </w:r>
      <w:r>
        <w:rPr>
          <w:spacing w:val="-33"/>
        </w:rPr>
        <w:t xml:space="preserve"> </w:t>
      </w:r>
      <w:r>
        <w:rPr>
          <w:spacing w:val="-4"/>
        </w:rPr>
        <w:t>100S）提供驻</w:t>
      </w:r>
      <w:r>
        <w:rPr/>
        <w:t xml:space="preserve"> </w:t>
      </w:r>
      <w:r>
        <w:rPr>
          <w:spacing w:val="-4"/>
        </w:rPr>
        <w:t>点维修、</w:t>
      </w:r>
      <w:r>
        <w:rPr>
          <w:spacing w:val="-63"/>
        </w:rPr>
        <w:t xml:space="preserve"> </w:t>
      </w:r>
      <w:r>
        <w:rPr>
          <w:spacing w:val="-4"/>
        </w:rPr>
        <w:t>日常维护、保养、抢修解救等服务。</w:t>
      </w:r>
    </w:p>
    <w:p>
      <w:pPr>
        <w:pStyle w:val="BodyText"/>
        <w:ind w:left="491"/>
        <w:spacing w:before="279" w:line="220" w:lineRule="auto"/>
        <w:rPr/>
      </w:pPr>
      <w:r>
        <w:rPr>
          <w:spacing w:val="-2"/>
        </w:rPr>
        <w:t>2、维保设备清单</w:t>
      </w:r>
    </w:p>
    <w:p>
      <w:pPr>
        <w:spacing w:line="69" w:lineRule="exact"/>
        <w:rPr/>
      </w:pPr>
      <w:r/>
    </w:p>
    <w:tbl>
      <w:tblPr>
        <w:tblStyle w:val="TableNormal"/>
        <w:tblW w:w="7622" w:type="dxa"/>
        <w:tblInd w:w="55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75"/>
        <w:gridCol w:w="2007"/>
        <w:gridCol w:w="1940"/>
      </w:tblGrid>
      <w:tr>
        <w:trPr>
          <w:trHeight w:val="571" w:hRule="atLeast"/>
        </w:trPr>
        <w:tc>
          <w:tcPr>
            <w:tcW w:w="3675" w:type="dxa"/>
            <w:vAlign w:val="top"/>
          </w:tcPr>
          <w:p>
            <w:pPr>
              <w:ind w:left="1420"/>
              <w:spacing w:before="216" w:line="221" w:lineRule="auto"/>
              <w:rPr>
                <w:rFonts w:ascii="SimSun" w:hAnsi="SimSun" w:eastAsia="SimSun" w:cs="SimSun"/>
                <w:sz w:val="24"/>
                <w:szCs w:val="24"/>
              </w:rPr>
            </w:pPr>
            <w:r>
              <w:rPr>
                <w:rFonts w:ascii="SimSun" w:hAnsi="SimSun" w:eastAsia="SimSun" w:cs="SimSun"/>
                <w:sz w:val="24"/>
                <w:szCs w:val="24"/>
                <w:b/>
                <w:bCs/>
                <w:spacing w:val="-9"/>
              </w:rPr>
              <w:t>名称</w:t>
            </w:r>
          </w:p>
        </w:tc>
        <w:tc>
          <w:tcPr>
            <w:tcW w:w="2007" w:type="dxa"/>
            <w:vAlign w:val="top"/>
          </w:tcPr>
          <w:p>
            <w:pPr>
              <w:ind w:left="797"/>
              <w:spacing w:before="215" w:line="221" w:lineRule="auto"/>
              <w:rPr>
                <w:rFonts w:ascii="SimSun" w:hAnsi="SimSun" w:eastAsia="SimSun" w:cs="SimSun"/>
                <w:sz w:val="24"/>
                <w:szCs w:val="24"/>
              </w:rPr>
            </w:pPr>
            <w:r>
              <w:rPr>
                <w:rFonts w:ascii="SimSun" w:hAnsi="SimSun" w:eastAsia="SimSun" w:cs="SimSun"/>
                <w:sz w:val="24"/>
                <w:szCs w:val="24"/>
                <w:b/>
                <w:bCs/>
                <w:spacing w:val="-11"/>
              </w:rPr>
              <w:t>型号</w:t>
            </w:r>
          </w:p>
        </w:tc>
        <w:tc>
          <w:tcPr>
            <w:tcW w:w="1940" w:type="dxa"/>
            <w:vAlign w:val="top"/>
          </w:tcPr>
          <w:p>
            <w:pPr>
              <w:ind w:left="499"/>
              <w:spacing w:before="215" w:line="220" w:lineRule="auto"/>
              <w:rPr>
                <w:rFonts w:ascii="SimSun" w:hAnsi="SimSun" w:eastAsia="SimSun" w:cs="SimSun"/>
                <w:sz w:val="24"/>
                <w:szCs w:val="24"/>
              </w:rPr>
            </w:pPr>
            <w:r>
              <w:rPr>
                <w:rFonts w:ascii="SimSun" w:hAnsi="SimSun" w:eastAsia="SimSun" w:cs="SimSun"/>
                <w:sz w:val="24"/>
                <w:szCs w:val="24"/>
                <w:b/>
                <w:bCs/>
                <w:spacing w:val="-6"/>
              </w:rPr>
              <w:t>安装地点</w:t>
            </w:r>
          </w:p>
        </w:tc>
      </w:tr>
      <w:tr>
        <w:trPr>
          <w:trHeight w:val="571" w:hRule="atLeast"/>
        </w:trPr>
        <w:tc>
          <w:tcPr>
            <w:tcW w:w="3675" w:type="dxa"/>
            <w:vAlign w:val="top"/>
          </w:tcPr>
          <w:p>
            <w:pPr>
              <w:ind w:left="405"/>
              <w:spacing w:before="212" w:line="219" w:lineRule="auto"/>
              <w:rPr>
                <w:rFonts w:ascii="SimSun" w:hAnsi="SimSun" w:eastAsia="SimSun" w:cs="SimSun"/>
                <w:sz w:val="24"/>
                <w:szCs w:val="24"/>
              </w:rPr>
            </w:pPr>
            <w:r>
              <w:rPr>
                <w:rFonts w:ascii="SimSun" w:hAnsi="SimSun" w:eastAsia="SimSun" w:cs="SimSun"/>
                <w:sz w:val="24"/>
                <w:szCs w:val="24"/>
                <w:spacing w:val="-1"/>
              </w:rPr>
              <w:t>过氧化氢低温等离子灭菌器</w:t>
            </w:r>
          </w:p>
        </w:tc>
        <w:tc>
          <w:tcPr>
            <w:tcW w:w="2007" w:type="dxa"/>
            <w:vAlign w:val="top"/>
          </w:tcPr>
          <w:p>
            <w:pPr>
              <w:ind w:left="116"/>
              <w:spacing w:before="212"/>
              <w:rPr>
                <w:rFonts w:ascii="SimSun" w:hAnsi="SimSun" w:eastAsia="SimSun" w:cs="SimSun"/>
                <w:sz w:val="24"/>
                <w:szCs w:val="24"/>
              </w:rPr>
            </w:pPr>
            <w:r>
              <w:rPr>
                <w:rFonts w:ascii="SimSun" w:hAnsi="SimSun" w:eastAsia="SimSun" w:cs="SimSun"/>
                <w:sz w:val="24"/>
                <w:szCs w:val="24"/>
                <w:spacing w:val="-4"/>
              </w:rPr>
              <w:t>Sterrad</w:t>
            </w:r>
            <w:r>
              <w:rPr>
                <w:rFonts w:ascii="SimSun" w:hAnsi="SimSun" w:eastAsia="SimSun" w:cs="SimSun"/>
                <w:sz w:val="24"/>
                <w:szCs w:val="24"/>
                <w:spacing w:val="32"/>
              </w:rPr>
              <w:t xml:space="preserve"> </w:t>
            </w:r>
            <w:r>
              <w:rPr>
                <w:rFonts w:ascii="SimSun" w:hAnsi="SimSun" w:eastAsia="SimSun" w:cs="SimSun"/>
                <w:sz w:val="24"/>
                <w:szCs w:val="24"/>
                <w:spacing w:val="-4"/>
              </w:rPr>
              <w:t>100S</w:t>
            </w:r>
          </w:p>
        </w:tc>
        <w:tc>
          <w:tcPr>
            <w:tcW w:w="1940" w:type="dxa"/>
            <w:vAlign w:val="top"/>
          </w:tcPr>
          <w:p>
            <w:pPr>
              <w:ind w:left="595"/>
              <w:spacing w:before="212" w:line="219" w:lineRule="auto"/>
              <w:rPr>
                <w:rFonts w:ascii="SimSun" w:hAnsi="SimSun" w:eastAsia="SimSun" w:cs="SimSun"/>
                <w:sz w:val="24"/>
                <w:szCs w:val="24"/>
              </w:rPr>
            </w:pPr>
            <w:r>
              <w:rPr>
                <w:rFonts w:ascii="SimSun" w:hAnsi="SimSun" w:eastAsia="SimSun" w:cs="SimSun"/>
                <w:sz w:val="24"/>
                <w:szCs w:val="24"/>
                <w:spacing w:val="-4"/>
              </w:rPr>
              <w:t>供应室</w:t>
            </w:r>
          </w:p>
        </w:tc>
      </w:tr>
    </w:tbl>
    <w:p>
      <w:pPr>
        <w:pStyle w:val="BodyText"/>
        <w:ind w:left="571"/>
        <w:spacing w:before="171" w:line="219" w:lineRule="auto"/>
        <w:outlineLvl w:val="1"/>
        <w:rPr>
          <w:sz w:val="28"/>
          <w:szCs w:val="28"/>
        </w:rPr>
      </w:pPr>
      <w:r>
        <w:rPr>
          <w:sz w:val="28"/>
          <w:szCs w:val="28"/>
          <w:b/>
          <w:bCs/>
          <w:spacing w:val="-3"/>
        </w:rPr>
        <w:t>三、过氧化氢低温等离子灭菌器维保操作要求及规范</w:t>
      </w:r>
    </w:p>
    <w:p>
      <w:pPr>
        <w:pStyle w:val="BodyText"/>
        <w:ind w:left="8" w:firstLine="497"/>
        <w:spacing w:before="238" w:line="342" w:lineRule="auto"/>
        <w:rPr/>
      </w:pPr>
      <w:r>
        <w:rPr>
          <w:spacing w:val="-8"/>
        </w:rPr>
        <w:t>1、每年</w:t>
      </w:r>
      <w:r>
        <w:rPr>
          <w:u w:val="single" w:color="auto"/>
          <w:spacing w:val="-8"/>
        </w:rPr>
        <w:t xml:space="preserve"> 肆 </w:t>
      </w:r>
      <w:r>
        <w:rPr>
          <w:spacing w:val="-8"/>
        </w:rPr>
        <w:t>次常规保养，分别是</w:t>
      </w:r>
      <w:r>
        <w:rPr>
          <w:spacing w:val="-38"/>
        </w:rPr>
        <w:t xml:space="preserve"> </w:t>
      </w:r>
      <w:r>
        <w:rPr>
          <w:spacing w:val="-8"/>
        </w:rPr>
        <w:t>2</w:t>
      </w:r>
      <w:r>
        <w:rPr>
          <w:spacing w:val="-44"/>
        </w:rPr>
        <w:t xml:space="preserve"> </w:t>
      </w:r>
      <w:r>
        <w:rPr>
          <w:spacing w:val="-8"/>
        </w:rPr>
        <w:t>次</w:t>
      </w:r>
      <w:r>
        <w:rPr>
          <w:spacing w:val="-33"/>
        </w:rPr>
        <w:t xml:space="preserve"> </w:t>
      </w:r>
      <w:r>
        <w:rPr>
          <w:spacing w:val="-8"/>
        </w:rPr>
        <w:t>Ⅰ级保养，2</w:t>
      </w:r>
      <w:r>
        <w:rPr>
          <w:spacing w:val="-44"/>
        </w:rPr>
        <w:t xml:space="preserve"> </w:t>
      </w:r>
      <w:r>
        <w:rPr>
          <w:spacing w:val="-8"/>
        </w:rPr>
        <w:t>次Ⅱ级保养，制定维护计划，</w:t>
      </w:r>
      <w:r>
        <w:rPr/>
        <w:t xml:space="preserve"> </w:t>
      </w:r>
      <w:r>
        <w:rPr>
          <w:b/>
          <w:bCs/>
          <w:spacing w:val="-1"/>
        </w:rPr>
        <w:t>所有的保养按照出厂标准规定进行</w:t>
      </w:r>
      <w:r>
        <w:rPr>
          <w:spacing w:val="-1"/>
        </w:rPr>
        <w:t>，配备该设备的专业工程师，在工作或非工作日</w:t>
      </w:r>
      <w:r>
        <w:rPr>
          <w:spacing w:val="1"/>
        </w:rPr>
        <w:t xml:space="preserve">  </w:t>
      </w:r>
      <w:r>
        <w:rPr/>
        <w:t>内(周一至周日根据使用科室时间对设备进行保养)至甲方</w:t>
      </w:r>
      <w:r>
        <w:rPr>
          <w:spacing w:val="-1"/>
        </w:rPr>
        <w:t>之机器装置地(地址为海</w:t>
      </w:r>
      <w:r>
        <w:rPr/>
        <w:t xml:space="preserve">   </w:t>
      </w:r>
      <w:r>
        <w:rPr/>
        <w:t>南西部中心医院)提供约定之维护性服务。提供定期保养服</w:t>
      </w:r>
      <w:r>
        <w:rPr>
          <w:spacing w:val="-1"/>
        </w:rPr>
        <w:t>务,包括机器清洁、性能</w:t>
      </w:r>
      <w:r>
        <w:rPr/>
        <w:t xml:space="preserve">  </w:t>
      </w:r>
      <w:r>
        <w:rPr>
          <w:spacing w:val="-1"/>
        </w:rPr>
        <w:t>测试相关电气测试（OQ）及校准、必要的机械或电器的检查,以及非紧急性质的补救</w:t>
      </w:r>
      <w:r>
        <w:rPr>
          <w:spacing w:val="1"/>
        </w:rPr>
        <w:t xml:space="preserve"> </w:t>
      </w:r>
      <w:r>
        <w:rPr>
          <w:spacing w:val="-1"/>
        </w:rPr>
        <w:t>维修,确保系统能按照制造商的产品规格运行的维修，每次保养维修后要填写维保工</w:t>
      </w:r>
      <w:r>
        <w:rPr/>
        <w:t xml:space="preserve"> </w:t>
      </w:r>
      <w:r>
        <w:rPr/>
        <w:t>单同时需要使用科室签字确认方为有效，建立设备维保档</w:t>
      </w:r>
      <w:r>
        <w:rPr>
          <w:spacing w:val="-1"/>
        </w:rPr>
        <w:t>案，档案保存期限不得少</w:t>
      </w:r>
      <w:r>
        <w:rPr/>
        <w:t xml:space="preserve">  </w:t>
      </w:r>
      <w:r>
        <w:rPr>
          <w:spacing w:val="-3"/>
        </w:rPr>
        <w:t>于</w:t>
      </w:r>
      <w:r>
        <w:rPr>
          <w:spacing w:val="-36"/>
        </w:rPr>
        <w:t xml:space="preserve"> </w:t>
      </w:r>
      <w:r>
        <w:rPr>
          <w:spacing w:val="-3"/>
        </w:rPr>
        <w:t>5</w:t>
      </w:r>
      <w:r>
        <w:rPr>
          <w:spacing w:val="-50"/>
        </w:rPr>
        <w:t xml:space="preserve"> </w:t>
      </w:r>
      <w:r>
        <w:rPr>
          <w:spacing w:val="-3"/>
        </w:rPr>
        <w:t>年。同时该工单需留存使用科室及监管科室，必要时提供备件进货清单及价格。</w:t>
      </w:r>
    </w:p>
    <w:p>
      <w:pPr>
        <w:pStyle w:val="BodyText"/>
        <w:ind w:left="491"/>
        <w:spacing w:before="185" w:line="219" w:lineRule="auto"/>
        <w:rPr/>
      </w:pPr>
      <w:r>
        <w:rPr>
          <w:spacing w:val="-1"/>
        </w:rPr>
        <w:t>2、保养主要步骤和配件详细说明</w:t>
      </w:r>
    </w:p>
    <w:p>
      <w:pPr>
        <w:spacing w:line="69" w:lineRule="exact"/>
        <w:rPr/>
      </w:pPr>
      <w:r/>
    </w:p>
    <w:tbl>
      <w:tblPr>
        <w:tblStyle w:val="TableNormal"/>
        <w:tblW w:w="7942" w:type="dxa"/>
        <w:tblInd w:w="39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47"/>
        <w:gridCol w:w="3064"/>
        <w:gridCol w:w="3231"/>
      </w:tblGrid>
      <w:tr>
        <w:trPr>
          <w:trHeight w:val="475" w:hRule="atLeast"/>
        </w:trPr>
        <w:tc>
          <w:tcPr>
            <w:tcW w:w="1647" w:type="dxa"/>
            <w:vAlign w:val="top"/>
          </w:tcPr>
          <w:p>
            <w:pPr>
              <w:rPr>
                <w:rFonts w:ascii="Arial"/>
                <w:sz w:val="21"/>
              </w:rPr>
            </w:pPr>
            <w:r/>
          </w:p>
        </w:tc>
        <w:tc>
          <w:tcPr>
            <w:tcW w:w="3064" w:type="dxa"/>
            <w:vAlign w:val="top"/>
          </w:tcPr>
          <w:p>
            <w:pPr>
              <w:ind w:left="554"/>
              <w:spacing w:before="127" w:line="220" w:lineRule="auto"/>
              <w:rPr>
                <w:rFonts w:ascii="SimSun" w:hAnsi="SimSun" w:eastAsia="SimSun" w:cs="SimSun"/>
                <w:sz w:val="22"/>
                <w:szCs w:val="22"/>
              </w:rPr>
            </w:pPr>
            <w:r>
              <w:rPr>
                <w:rFonts w:ascii="SimSun" w:hAnsi="SimSun" w:eastAsia="SimSun" w:cs="SimSun"/>
                <w:sz w:val="22"/>
                <w:szCs w:val="22"/>
                <w:spacing w:val="-3"/>
              </w:rPr>
              <w:t>保养</w:t>
            </w:r>
            <w:r>
              <w:rPr>
                <w:rFonts w:ascii="SimSun" w:hAnsi="SimSun" w:eastAsia="SimSun" w:cs="SimSun"/>
                <w:sz w:val="22"/>
                <w:szCs w:val="22"/>
                <w:spacing w:val="-33"/>
              </w:rPr>
              <w:t xml:space="preserve"> </w:t>
            </w:r>
            <w:r>
              <w:rPr>
                <w:rFonts w:ascii="SimSun" w:hAnsi="SimSun" w:eastAsia="SimSun" w:cs="SimSun"/>
                <w:sz w:val="22"/>
                <w:szCs w:val="22"/>
                <w:spacing w:val="-3"/>
              </w:rPr>
              <w:t>Ⅰ</w:t>
            </w:r>
          </w:p>
        </w:tc>
        <w:tc>
          <w:tcPr>
            <w:tcW w:w="3231" w:type="dxa"/>
            <w:vAlign w:val="top"/>
          </w:tcPr>
          <w:p>
            <w:pPr>
              <w:ind w:left="555"/>
              <w:spacing w:before="127" w:line="220" w:lineRule="auto"/>
              <w:rPr>
                <w:rFonts w:ascii="SimSun" w:hAnsi="SimSun" w:eastAsia="SimSun" w:cs="SimSun"/>
                <w:sz w:val="22"/>
                <w:szCs w:val="22"/>
              </w:rPr>
            </w:pPr>
            <w:r>
              <w:rPr>
                <w:rFonts w:ascii="SimSun" w:hAnsi="SimSun" w:eastAsia="SimSun" w:cs="SimSun"/>
                <w:sz w:val="22"/>
                <w:szCs w:val="22"/>
                <w:spacing w:val="-3"/>
              </w:rPr>
              <w:t>保养Ⅱ</w:t>
            </w:r>
          </w:p>
        </w:tc>
      </w:tr>
    </w:tbl>
    <w:p>
      <w:pPr>
        <w:rPr>
          <w:rFonts w:ascii="Arial"/>
          <w:sz w:val="21"/>
        </w:rPr>
      </w:pPr>
      <w:r/>
    </w:p>
    <w:p>
      <w:pPr>
        <w:sectPr>
          <w:headerReference w:type="default" r:id="rId1"/>
          <w:footerReference w:type="default" r:id="rId2"/>
          <w:pgSz w:w="11906" w:h="16839"/>
          <w:pgMar w:top="1151" w:right="1505" w:bottom="1156" w:left="1587" w:header="863" w:footer="994" w:gutter="0"/>
        </w:sectPr>
        <w:rPr>
          <w:rFonts w:ascii="Arial" w:hAnsi="Arial" w:eastAsia="Arial" w:cs="Arial"/>
          <w:sz w:val="21"/>
          <w:szCs w:val="21"/>
        </w:rPr>
      </w:pPr>
    </w:p>
    <w:p>
      <w:pPr>
        <w:spacing w:before="23"/>
        <w:rPr/>
      </w:pPr>
      <w:r/>
    </w:p>
    <w:tbl>
      <w:tblPr>
        <w:tblStyle w:val="TableNormal"/>
        <w:tblW w:w="7942" w:type="dxa"/>
        <w:tblInd w:w="39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47"/>
        <w:gridCol w:w="3064"/>
        <w:gridCol w:w="3231"/>
      </w:tblGrid>
      <w:tr>
        <w:trPr>
          <w:trHeight w:val="3752" w:hRule="atLeast"/>
        </w:trPr>
        <w:tc>
          <w:tcPr>
            <w:tcW w:w="1647" w:type="dxa"/>
            <w:vAlign w:val="top"/>
          </w:tcPr>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38"/>
              <w:spacing w:before="71" w:line="220" w:lineRule="auto"/>
              <w:rPr/>
            </w:pPr>
            <w:r>
              <w:rPr>
                <w:spacing w:val="-3"/>
              </w:rPr>
              <w:t>更换备件</w:t>
            </w:r>
          </w:p>
        </w:tc>
        <w:tc>
          <w:tcPr>
            <w:tcW w:w="3064"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16"/>
              <w:spacing w:before="72" w:line="220" w:lineRule="auto"/>
              <w:rPr/>
            </w:pPr>
            <w:r>
              <w:rPr>
                <w:spacing w:val="-3"/>
              </w:rPr>
              <w:t>真空泵油</w:t>
            </w:r>
          </w:p>
          <w:p>
            <w:pPr>
              <w:pStyle w:val="TableText"/>
              <w:ind w:left="117"/>
              <w:spacing w:before="205" w:line="220" w:lineRule="auto"/>
              <w:rPr/>
            </w:pPr>
            <w:r>
              <w:rPr>
                <w:spacing w:val="-2"/>
              </w:rPr>
              <w:t>油雾过滤器替换滤芯</w:t>
            </w:r>
          </w:p>
        </w:tc>
        <w:tc>
          <w:tcPr>
            <w:tcW w:w="3231" w:type="dxa"/>
            <w:vAlign w:val="top"/>
          </w:tcPr>
          <w:p>
            <w:pPr>
              <w:pStyle w:val="TableText"/>
              <w:ind w:left="117"/>
              <w:spacing w:before="129" w:line="220" w:lineRule="auto"/>
              <w:rPr/>
            </w:pPr>
            <w:r>
              <w:rPr>
                <w:spacing w:val="-3"/>
              </w:rPr>
              <w:t>真空泵油</w:t>
            </w:r>
          </w:p>
          <w:p>
            <w:pPr>
              <w:pStyle w:val="TableText"/>
              <w:ind w:left="118"/>
              <w:spacing w:before="205" w:line="220" w:lineRule="auto"/>
              <w:rPr/>
            </w:pPr>
            <w:r>
              <w:rPr>
                <w:spacing w:val="-2"/>
              </w:rPr>
              <w:t>油雾过滤器替换滤芯</w:t>
            </w:r>
          </w:p>
          <w:p>
            <w:pPr>
              <w:pStyle w:val="TableText"/>
              <w:ind w:left="114"/>
              <w:spacing w:before="205" w:line="221" w:lineRule="auto"/>
              <w:rPr/>
            </w:pPr>
            <w:r>
              <w:rPr>
                <w:spacing w:val="-1"/>
              </w:rPr>
              <w:t>接触转换器和排气过滤器</w:t>
            </w:r>
          </w:p>
          <w:p>
            <w:pPr>
              <w:pStyle w:val="TableText"/>
              <w:ind w:left="114" w:right="1578" w:firstLine="6"/>
              <w:spacing w:before="205" w:line="379" w:lineRule="auto"/>
              <w:rPr/>
            </w:pPr>
            <w:r>
              <w:rPr>
                <w:spacing w:val="-2"/>
              </w:rPr>
              <w:t>高效空气过滤器</w:t>
            </w:r>
            <w:r>
              <w:rPr/>
              <w:t xml:space="preserve"> </w:t>
            </w:r>
            <w:r>
              <w:rPr>
                <w:spacing w:val="-2"/>
              </w:rPr>
              <w:t>搁架固定扣</w:t>
            </w:r>
          </w:p>
          <w:p>
            <w:pPr>
              <w:pStyle w:val="TableText"/>
              <w:ind w:left="139" w:right="1357"/>
              <w:spacing w:before="32" w:line="380" w:lineRule="auto"/>
              <w:rPr/>
            </w:pPr>
            <w:r>
              <w:rPr>
                <w:spacing w:val="-5"/>
              </w:rPr>
              <w:t>电极后侧塑料挡圈</w:t>
            </w:r>
            <w:r>
              <w:rPr>
                <w:spacing w:val="6"/>
              </w:rPr>
              <w:t xml:space="preserve"> </w:t>
            </w:r>
            <w:r>
              <w:rPr>
                <w:spacing w:val="-9"/>
              </w:rPr>
              <w:t>门密封圈</w:t>
            </w:r>
          </w:p>
          <w:p>
            <w:pPr>
              <w:pStyle w:val="TableText"/>
              <w:ind w:left="115"/>
              <w:spacing w:before="30" w:line="220" w:lineRule="auto"/>
              <w:rPr/>
            </w:pPr>
            <w:r>
              <w:rPr>
                <w:spacing w:val="-1"/>
              </w:rPr>
              <w:t>气动控制组件集水瓶滤芯</w:t>
            </w:r>
          </w:p>
        </w:tc>
      </w:tr>
      <w:tr>
        <w:trPr>
          <w:trHeight w:val="4682" w:hRule="atLeast"/>
        </w:trPr>
        <w:tc>
          <w:tcPr>
            <w:tcW w:w="1647"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17" w:right="213"/>
              <w:spacing w:before="72" w:line="380" w:lineRule="auto"/>
              <w:rPr/>
            </w:pPr>
            <w:r>
              <w:rPr>
                <w:spacing w:val="-2"/>
              </w:rPr>
              <w:t>全套的电气测</w:t>
            </w:r>
            <w:r>
              <w:rPr>
                <w:spacing w:val="2"/>
              </w:rPr>
              <w:t xml:space="preserve"> </w:t>
            </w:r>
            <w:r>
              <w:rPr/>
              <w:t>试</w:t>
            </w:r>
          </w:p>
        </w:tc>
        <w:tc>
          <w:tcPr>
            <w:tcW w:w="3064" w:type="dxa"/>
            <w:vAlign w:val="top"/>
          </w:tcPr>
          <w:p>
            <w:pPr>
              <w:pStyle w:val="TableText"/>
              <w:ind w:left="115" w:right="973" w:firstLine="2"/>
              <w:spacing w:before="126" w:line="379" w:lineRule="auto"/>
              <w:rPr/>
            </w:pPr>
            <w:r>
              <w:rPr>
                <w:spacing w:val="-2"/>
              </w:rPr>
              <w:t>交直流电源输出测试</w:t>
            </w:r>
            <w:r>
              <w:rPr>
                <w:spacing w:val="4"/>
              </w:rPr>
              <w:t xml:space="preserve"> </w:t>
            </w:r>
            <w:r>
              <w:rPr>
                <w:spacing w:val="-2"/>
              </w:rPr>
              <w:t>数模转换测试</w:t>
            </w:r>
          </w:p>
          <w:p>
            <w:pPr>
              <w:pStyle w:val="TableText"/>
              <w:ind w:left="114"/>
              <w:spacing w:before="32" w:line="220" w:lineRule="auto"/>
              <w:rPr/>
            </w:pPr>
            <w:r>
              <w:rPr>
                <w:spacing w:val="-1"/>
              </w:rPr>
              <w:t>加热器电阻值及电压测试</w:t>
            </w:r>
          </w:p>
          <w:p>
            <w:pPr>
              <w:pStyle w:val="TableText"/>
              <w:ind w:left="115"/>
              <w:spacing w:before="205" w:line="221" w:lineRule="auto"/>
              <w:rPr/>
            </w:pPr>
            <w:r>
              <w:rPr>
                <w:spacing w:val="-3"/>
              </w:rPr>
              <w:t>温度测试</w:t>
            </w:r>
          </w:p>
          <w:p>
            <w:pPr>
              <w:pStyle w:val="TableText"/>
              <w:ind w:left="114" w:right="1851" w:firstLine="1"/>
              <w:spacing w:before="205" w:line="379" w:lineRule="auto"/>
              <w:rPr/>
            </w:pPr>
            <w:r>
              <w:rPr>
                <w:spacing w:val="-2"/>
              </w:rPr>
              <w:t>等离子测试</w:t>
            </w:r>
            <w:r>
              <w:rPr/>
              <w:t xml:space="preserve"> </w:t>
            </w:r>
            <w:r>
              <w:rPr>
                <w:spacing w:val="-2"/>
              </w:rPr>
              <w:t>漏气率测试</w:t>
            </w:r>
          </w:p>
          <w:p>
            <w:pPr>
              <w:pStyle w:val="TableText"/>
              <w:ind w:left="114" w:right="1412" w:firstLine="2"/>
              <w:spacing w:before="31" w:line="380" w:lineRule="auto"/>
              <w:rPr/>
            </w:pPr>
            <w:r>
              <w:rPr>
                <w:spacing w:val="-2"/>
              </w:rPr>
              <w:t>真空表校零检测</w:t>
            </w:r>
            <w:r>
              <w:rPr>
                <w:spacing w:val="2"/>
              </w:rPr>
              <w:t xml:space="preserve"> </w:t>
            </w:r>
            <w:r>
              <w:rPr>
                <w:spacing w:val="-2"/>
              </w:rPr>
              <w:t>注射系统测试</w:t>
            </w:r>
          </w:p>
          <w:p>
            <w:pPr>
              <w:pStyle w:val="TableText"/>
              <w:ind w:left="117" w:right="973" w:firstLine="3"/>
              <w:spacing w:before="30" w:line="337" w:lineRule="auto"/>
              <w:rPr/>
            </w:pPr>
            <w:r>
              <w:rPr>
                <w:spacing w:val="-2"/>
              </w:rPr>
              <w:t>空气压缩机输出测试</w:t>
            </w:r>
            <w:r>
              <w:rPr>
                <w:spacing w:val="1"/>
              </w:rPr>
              <w:t xml:space="preserve"> </w:t>
            </w:r>
            <w:r>
              <w:rPr>
                <w:spacing w:val="-3"/>
              </w:rPr>
              <w:t>打印机测试</w:t>
            </w:r>
          </w:p>
        </w:tc>
        <w:tc>
          <w:tcPr>
            <w:tcW w:w="3231" w:type="dxa"/>
            <w:vAlign w:val="top"/>
          </w:tcPr>
          <w:p>
            <w:pPr>
              <w:pStyle w:val="TableText"/>
              <w:ind w:left="116" w:right="1139" w:firstLine="2"/>
              <w:spacing w:before="126" w:line="379" w:lineRule="auto"/>
              <w:rPr/>
            </w:pPr>
            <w:r>
              <w:rPr>
                <w:spacing w:val="-2"/>
              </w:rPr>
              <w:t>交直流电源输出测试</w:t>
            </w:r>
            <w:r>
              <w:rPr>
                <w:spacing w:val="4"/>
              </w:rPr>
              <w:t xml:space="preserve"> </w:t>
            </w:r>
            <w:r>
              <w:rPr>
                <w:spacing w:val="-2"/>
              </w:rPr>
              <w:t>数模转换测试</w:t>
            </w:r>
          </w:p>
          <w:p>
            <w:pPr>
              <w:pStyle w:val="TableText"/>
              <w:ind w:left="115"/>
              <w:spacing w:before="32" w:line="220" w:lineRule="auto"/>
              <w:rPr/>
            </w:pPr>
            <w:r>
              <w:rPr>
                <w:spacing w:val="-1"/>
              </w:rPr>
              <w:t>加热器电阻值及电压测试</w:t>
            </w:r>
          </w:p>
          <w:p>
            <w:pPr>
              <w:pStyle w:val="TableText"/>
              <w:ind w:left="116"/>
              <w:spacing w:before="205" w:line="221" w:lineRule="auto"/>
              <w:rPr/>
            </w:pPr>
            <w:r>
              <w:rPr>
                <w:spacing w:val="-3"/>
              </w:rPr>
              <w:t>温度测试</w:t>
            </w:r>
          </w:p>
          <w:p>
            <w:pPr>
              <w:pStyle w:val="TableText"/>
              <w:ind w:left="115" w:right="2017" w:firstLine="1"/>
              <w:spacing w:before="205" w:line="379" w:lineRule="auto"/>
              <w:rPr/>
            </w:pPr>
            <w:r>
              <w:rPr>
                <w:spacing w:val="-2"/>
              </w:rPr>
              <w:t>等离子测试</w:t>
            </w:r>
            <w:r>
              <w:rPr/>
              <w:t xml:space="preserve"> </w:t>
            </w:r>
            <w:r>
              <w:rPr>
                <w:spacing w:val="-2"/>
              </w:rPr>
              <w:t>漏气率测试</w:t>
            </w:r>
          </w:p>
          <w:p>
            <w:pPr>
              <w:pStyle w:val="TableText"/>
              <w:ind w:left="115" w:right="1578" w:firstLine="2"/>
              <w:spacing w:before="31" w:line="380" w:lineRule="auto"/>
              <w:rPr/>
            </w:pPr>
            <w:r>
              <w:rPr>
                <w:spacing w:val="-2"/>
              </w:rPr>
              <w:t>真空表校零检测</w:t>
            </w:r>
            <w:r>
              <w:rPr>
                <w:spacing w:val="2"/>
              </w:rPr>
              <w:t xml:space="preserve"> </w:t>
            </w:r>
            <w:r>
              <w:rPr>
                <w:spacing w:val="-2"/>
              </w:rPr>
              <w:t>注射系统测试</w:t>
            </w:r>
          </w:p>
          <w:p>
            <w:pPr>
              <w:pStyle w:val="TableText"/>
              <w:ind w:left="118" w:right="1139" w:firstLine="3"/>
              <w:spacing w:before="30" w:line="337" w:lineRule="auto"/>
              <w:rPr/>
            </w:pPr>
            <w:r>
              <w:rPr>
                <w:spacing w:val="-2"/>
              </w:rPr>
              <w:t>空气压缩机输出测试</w:t>
            </w:r>
            <w:r>
              <w:rPr>
                <w:spacing w:val="1"/>
              </w:rPr>
              <w:t xml:space="preserve"> </w:t>
            </w:r>
            <w:r>
              <w:rPr>
                <w:spacing w:val="-3"/>
              </w:rPr>
              <w:t>打印机测试</w:t>
            </w:r>
          </w:p>
        </w:tc>
      </w:tr>
      <w:tr>
        <w:trPr>
          <w:trHeight w:val="1881" w:hRule="atLeast"/>
        </w:trPr>
        <w:tc>
          <w:tcPr>
            <w:tcW w:w="1647" w:type="dxa"/>
            <w:vAlign w:val="top"/>
          </w:tcPr>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335"/>
              <w:spacing w:before="71" w:line="221" w:lineRule="auto"/>
              <w:rPr/>
            </w:pPr>
            <w:r>
              <w:rPr>
                <w:spacing w:val="-2"/>
              </w:rPr>
              <w:t>清洁设备</w:t>
            </w:r>
          </w:p>
        </w:tc>
        <w:tc>
          <w:tcPr>
            <w:tcW w:w="3064" w:type="dxa"/>
            <w:vAlign w:val="top"/>
          </w:tcPr>
          <w:p>
            <w:pPr>
              <w:pStyle w:val="TableText"/>
              <w:ind w:left="116"/>
              <w:spacing w:before="128" w:line="221" w:lineRule="auto"/>
              <w:rPr/>
            </w:pPr>
            <w:r>
              <w:rPr>
                <w:spacing w:val="-4"/>
              </w:rPr>
              <w:t>蒸发盘</w:t>
            </w:r>
          </w:p>
          <w:p>
            <w:pPr>
              <w:pStyle w:val="TableText"/>
              <w:ind w:left="120" w:right="1633" w:hanging="3"/>
              <w:spacing w:before="204" w:line="380" w:lineRule="auto"/>
              <w:rPr/>
            </w:pPr>
            <w:r>
              <w:rPr>
                <w:spacing w:val="-2"/>
              </w:rPr>
              <w:t>灭菌舱及舱门</w:t>
            </w:r>
            <w:r>
              <w:rPr/>
              <w:t xml:space="preserve"> </w:t>
            </w:r>
            <w:r>
              <w:rPr>
                <w:spacing w:val="-3"/>
              </w:rPr>
              <w:t>空气过滤网</w:t>
            </w:r>
          </w:p>
          <w:p>
            <w:pPr>
              <w:pStyle w:val="TableText"/>
              <w:ind w:left="113"/>
              <w:spacing w:before="30" w:line="220" w:lineRule="auto"/>
              <w:rPr/>
            </w:pPr>
            <w:r>
              <w:rPr>
                <w:spacing w:val="-1"/>
              </w:rPr>
              <w:t>储水罐及集水瓶</w:t>
            </w:r>
          </w:p>
        </w:tc>
        <w:tc>
          <w:tcPr>
            <w:tcW w:w="3231" w:type="dxa"/>
            <w:vAlign w:val="top"/>
          </w:tcPr>
          <w:p>
            <w:pPr>
              <w:pStyle w:val="TableText"/>
              <w:ind w:left="117"/>
              <w:spacing w:before="128" w:line="221" w:lineRule="auto"/>
              <w:rPr/>
            </w:pPr>
            <w:r>
              <w:rPr>
                <w:spacing w:val="-4"/>
              </w:rPr>
              <w:t>蒸发盘</w:t>
            </w:r>
          </w:p>
          <w:p>
            <w:pPr>
              <w:pStyle w:val="TableText"/>
              <w:ind w:left="121" w:right="1799" w:hanging="3"/>
              <w:spacing w:before="204" w:line="380" w:lineRule="auto"/>
              <w:rPr/>
            </w:pPr>
            <w:r>
              <w:rPr>
                <w:spacing w:val="-2"/>
              </w:rPr>
              <w:t>灭菌舱及舱门</w:t>
            </w:r>
            <w:r>
              <w:rPr/>
              <w:t xml:space="preserve"> </w:t>
            </w:r>
            <w:r>
              <w:rPr>
                <w:spacing w:val="-3"/>
              </w:rPr>
              <w:t>空气过滤网</w:t>
            </w:r>
          </w:p>
          <w:p>
            <w:pPr>
              <w:pStyle w:val="TableText"/>
              <w:ind w:left="114"/>
              <w:spacing w:before="30" w:line="220" w:lineRule="auto"/>
              <w:rPr/>
            </w:pPr>
            <w:r>
              <w:rPr>
                <w:spacing w:val="-1"/>
              </w:rPr>
              <w:t>储水罐及集水瓶</w:t>
            </w:r>
          </w:p>
        </w:tc>
      </w:tr>
    </w:tbl>
    <w:p>
      <w:pPr>
        <w:pStyle w:val="BodyText"/>
        <w:ind w:left="9"/>
        <w:spacing w:before="114" w:line="219" w:lineRule="auto"/>
        <w:rPr/>
      </w:pPr>
      <w:r>
        <w:rPr>
          <w:spacing w:val="-13"/>
        </w:rPr>
        <w:t>保养所需备件为：保养</w:t>
      </w:r>
      <w:r>
        <w:rPr>
          <w:spacing w:val="-28"/>
        </w:rPr>
        <w:t xml:space="preserve"> </w:t>
      </w:r>
      <w:r>
        <w:rPr>
          <w:spacing w:val="-13"/>
        </w:rPr>
        <w:t>Ⅰ</w:t>
      </w:r>
      <w:r>
        <w:rPr>
          <w:spacing w:val="-90"/>
        </w:rPr>
        <w:t xml:space="preserve"> </w:t>
      </w:r>
      <w:r>
        <w:rPr>
          <w:spacing w:val="-13"/>
        </w:rPr>
        <w:t>：保养</w:t>
      </w:r>
      <w:r>
        <w:rPr>
          <w:spacing w:val="-33"/>
        </w:rPr>
        <w:t xml:space="preserve"> </w:t>
      </w:r>
      <w:r>
        <w:rPr>
          <w:spacing w:val="-13"/>
        </w:rPr>
        <w:t>Ⅰ组件</w:t>
      </w:r>
    </w:p>
    <w:p>
      <w:pPr>
        <w:pStyle w:val="BodyText"/>
        <w:ind w:left="1929"/>
        <w:spacing w:before="183" w:line="219" w:lineRule="auto"/>
        <w:rPr/>
      </w:pPr>
      <w:r>
        <w:rPr>
          <w:spacing w:val="-7"/>
        </w:rPr>
        <w:t>保养Ⅱ：保养</w:t>
      </w:r>
      <w:r>
        <w:rPr>
          <w:spacing w:val="-27"/>
        </w:rPr>
        <w:t xml:space="preserve"> </w:t>
      </w:r>
      <w:r>
        <w:rPr>
          <w:spacing w:val="-7"/>
        </w:rPr>
        <w:t>Ⅰ组件+保养Ⅱ组件</w:t>
      </w:r>
    </w:p>
    <w:p>
      <w:pPr>
        <w:pStyle w:val="BodyText"/>
        <w:ind w:left="20" w:firstLine="473"/>
        <w:spacing w:before="183" w:line="353" w:lineRule="auto"/>
        <w:rPr/>
      </w:pPr>
      <w:r>
        <w:rPr>
          <w:spacing w:val="-2"/>
        </w:rPr>
        <w:t>3、除上述定期维护服务外,维保方应在</w:t>
      </w:r>
      <w:r>
        <w:rPr>
          <w:spacing w:val="-44"/>
        </w:rPr>
        <w:t xml:space="preserve"> </w:t>
      </w:r>
      <w:r>
        <w:rPr>
          <w:spacing w:val="-2"/>
        </w:rPr>
        <w:t>7x24</w:t>
      </w:r>
      <w:r>
        <w:rPr>
          <w:spacing w:val="-44"/>
        </w:rPr>
        <w:t xml:space="preserve"> </w:t>
      </w:r>
      <w:r>
        <w:rPr>
          <w:spacing w:val="-2"/>
        </w:rPr>
        <w:t>小时做好待命服务，在接到报修后</w:t>
      </w:r>
      <w:r>
        <w:rPr/>
        <w:t xml:space="preserve"> </w:t>
      </w:r>
      <w:r>
        <w:rPr>
          <w:spacing w:val="-2"/>
        </w:rPr>
        <w:t>的</w:t>
      </w:r>
      <w:r>
        <w:rPr>
          <w:u w:val="single" w:color="auto"/>
          <w:spacing w:val="-2"/>
        </w:rPr>
        <w:t xml:space="preserve"> 2 </w:t>
      </w:r>
      <w:r>
        <w:rPr>
          <w:spacing w:val="-2"/>
        </w:rPr>
        <w:t>个工作小时内，通过电话或其它通讯方式响应要求。必要时维保方应在</w:t>
      </w:r>
      <w:r>
        <w:rPr>
          <w:spacing w:val="-42"/>
        </w:rPr>
        <w:t xml:space="preserve"> </w:t>
      </w:r>
      <w:r>
        <w:rPr>
          <w:u w:val="single" w:color="auto"/>
          <w:spacing w:val="-2"/>
        </w:rPr>
        <w:t>6</w:t>
      </w:r>
      <w:r>
        <w:rPr>
          <w:u w:val="single" w:color="auto"/>
          <w:spacing w:val="-51"/>
        </w:rPr>
        <w:t xml:space="preserve"> </w:t>
      </w:r>
      <w:r>
        <w:rPr>
          <w:spacing w:val="-2"/>
        </w:rPr>
        <w:t>个小</w:t>
      </w:r>
      <w:r>
        <w:rPr/>
        <w:t xml:space="preserve"> </w:t>
      </w:r>
      <w:r>
        <w:rPr>
          <w:spacing w:val="-1"/>
        </w:rPr>
        <w:t>时内派遣工程师至维修现场从事修理服务，每年不少于一次对使用科室进行培训学</w:t>
      </w:r>
      <w:r>
        <w:rPr>
          <w:spacing w:val="14"/>
        </w:rPr>
        <w:t xml:space="preserve"> </w:t>
      </w:r>
      <w:r>
        <w:rPr>
          <w:spacing w:val="-1"/>
        </w:rPr>
        <w:t>习，必要时提供演练服务，对涉及到特种安全装置的需按时做检测（如：压力表、</w:t>
      </w:r>
    </w:p>
    <w:p>
      <w:pPr>
        <w:pStyle w:val="BodyText"/>
        <w:ind w:left="12" w:right="93"/>
        <w:spacing w:before="35" w:line="347" w:lineRule="auto"/>
        <w:rPr/>
      </w:pPr>
      <w:r>
        <w:rPr>
          <w:spacing w:val="-1"/>
        </w:rPr>
        <w:t>安全阀等</w:t>
      </w:r>
      <w:r>
        <w:rPr>
          <w:spacing w:val="-51"/>
        </w:rPr>
        <w:t>），</w:t>
      </w:r>
      <w:r>
        <w:rPr>
          <w:spacing w:val="-1"/>
        </w:rPr>
        <w:t>更换零配件维护方要保证配件的来源可追溯性,主要配件需要厂家配件</w:t>
      </w:r>
      <w:r>
        <w:rPr>
          <w:spacing w:val="1"/>
        </w:rPr>
        <w:t xml:space="preserve"> </w:t>
      </w:r>
      <w:r>
        <w:rPr>
          <w:spacing w:val="-1"/>
        </w:rPr>
        <w:t>不能用代替配件，所更换的配件必须新旧配件放一起拍照留底。</w:t>
      </w:r>
    </w:p>
    <w:p>
      <w:pPr>
        <w:spacing w:line="347" w:lineRule="auto"/>
        <w:sectPr>
          <w:headerReference w:type="default" r:id="rId3"/>
          <w:footerReference w:type="default" r:id="rId4"/>
          <w:pgSz w:w="11906" w:h="16839"/>
          <w:pgMar w:top="1151" w:right="1585" w:bottom="1156" w:left="1587" w:header="863" w:footer="994" w:gutter="0"/>
        </w:sectPr>
        <w:rPr/>
      </w:pPr>
    </w:p>
    <w:p>
      <w:pPr>
        <w:spacing w:line="301" w:lineRule="auto"/>
        <w:rPr>
          <w:rFonts w:ascii="Arial"/>
          <w:sz w:val="21"/>
        </w:rPr>
      </w:pPr>
      <w:r/>
    </w:p>
    <w:p>
      <w:pPr>
        <w:pStyle w:val="BodyText"/>
        <w:ind w:left="9" w:right="80" w:firstLine="478"/>
        <w:spacing w:before="78" w:line="313" w:lineRule="auto"/>
        <w:rPr/>
      </w:pPr>
      <w:r>
        <w:rPr>
          <w:spacing w:val="-1"/>
        </w:rPr>
        <w:t>4、维保人员必须穿戴统一的工作服和工作牌，文明礼貌。维保设备必须经过医</w:t>
      </w:r>
      <w:r>
        <w:rPr/>
        <w:t xml:space="preserve"> </w:t>
      </w:r>
      <w:r>
        <w:rPr/>
        <w:t>院使用科室同意后才能实施，优先选择在夜间或者非工</w:t>
      </w:r>
      <w:r>
        <w:rPr>
          <w:spacing w:val="-1"/>
        </w:rPr>
        <w:t>作时间人少的时候完成。维</w:t>
      </w:r>
      <w:r>
        <w:rPr/>
        <w:t xml:space="preserve"> </w:t>
      </w:r>
      <w:r>
        <w:rPr>
          <w:spacing w:val="-1"/>
        </w:rPr>
        <w:t>保设备时要挂维修标志牌，并注明维保时间和内容。</w:t>
      </w:r>
    </w:p>
    <w:p>
      <w:pPr>
        <w:pStyle w:val="BodyText"/>
        <w:ind w:left="9" w:right="80" w:firstLine="483"/>
        <w:spacing w:before="182" w:line="290" w:lineRule="auto"/>
        <w:rPr/>
      </w:pPr>
      <w:r>
        <w:rPr>
          <w:spacing w:val="-1"/>
        </w:rPr>
        <w:t>5、运行保障：如遇相关检查、院方举行活动或消防演练等，驻</w:t>
      </w:r>
      <w:r>
        <w:rPr>
          <w:spacing w:val="-2"/>
        </w:rPr>
        <w:t>点人员应按院方</w:t>
      </w:r>
      <w:r>
        <w:rPr/>
        <w:t xml:space="preserve"> </w:t>
      </w:r>
      <w:r>
        <w:rPr>
          <w:spacing w:val="-2"/>
        </w:rPr>
        <w:t>要求配合院方。</w:t>
      </w:r>
    </w:p>
    <w:p>
      <w:pPr>
        <w:pStyle w:val="BodyText"/>
        <w:ind w:left="9" w:right="173" w:firstLine="480"/>
        <w:spacing w:before="182" w:line="313" w:lineRule="auto"/>
        <w:rPr/>
      </w:pPr>
      <w:r>
        <w:rPr>
          <w:spacing w:val="-4"/>
        </w:rPr>
        <w:t>6、维保方必须严格执行国家《医疗器械监督管理条例》《医疗器械使用质量监</w:t>
      </w:r>
      <w:r>
        <w:rPr>
          <w:spacing w:val="7"/>
        </w:rPr>
        <w:t xml:space="preserve"> </w:t>
      </w:r>
      <w:r>
        <w:rPr/>
        <w:t>督管理办法》安全作业及质量标准。在确保人身及设备</w:t>
      </w:r>
      <w:r>
        <w:rPr>
          <w:spacing w:val="-1"/>
        </w:rPr>
        <w:t>安全前提下方可作业。因违</w:t>
      </w:r>
      <w:r>
        <w:rPr/>
        <w:t xml:space="preserve"> </w:t>
      </w:r>
      <w:r>
        <w:rPr>
          <w:spacing w:val="-1"/>
        </w:rPr>
        <w:t>规操作而引发的工伤事故和设备损坏，维保公司负全部责任。</w:t>
      </w:r>
    </w:p>
    <w:p>
      <w:pPr>
        <w:pStyle w:val="BodyText"/>
        <w:ind w:left="8" w:firstLine="485"/>
        <w:spacing w:before="182" w:line="290" w:lineRule="auto"/>
        <w:rPr/>
      </w:pPr>
      <w:r>
        <w:rPr>
          <w:spacing w:val="-1"/>
        </w:rPr>
        <w:t>7、所有的维修零配件必须是正规厂家生产产品，必须有出厂</w:t>
      </w:r>
      <w:r>
        <w:rPr>
          <w:spacing w:val="-2"/>
        </w:rPr>
        <w:t>检测报告，产品合</w:t>
      </w:r>
      <w:r>
        <w:rPr/>
        <w:t xml:space="preserve"> </w:t>
      </w:r>
      <w:r>
        <w:rPr>
          <w:spacing w:val="-2"/>
        </w:rPr>
        <w:t>格证，不能使用次品或伪劣产品。如违规使用而造成事故的，维保公司负全部</w:t>
      </w:r>
      <w:r>
        <w:rPr>
          <w:spacing w:val="-3"/>
        </w:rPr>
        <w:t>责任。</w:t>
      </w:r>
    </w:p>
    <w:p>
      <w:pPr>
        <w:pStyle w:val="BodyText"/>
        <w:ind w:left="489"/>
        <w:spacing w:before="182" w:line="219" w:lineRule="auto"/>
        <w:rPr/>
      </w:pPr>
      <w:r>
        <w:rPr/>
        <w:t>8、维保公司有义务协助配合使用及监管科室处</w:t>
      </w:r>
      <w:r>
        <w:rPr>
          <w:spacing w:val="-1"/>
        </w:rPr>
        <w:t>理该设备有关的其它事项。</w:t>
      </w:r>
    </w:p>
    <w:p>
      <w:pPr>
        <w:pStyle w:val="BodyText"/>
        <w:ind w:left="8" w:right="18" w:firstLine="480"/>
        <w:spacing w:before="184" w:line="313" w:lineRule="auto"/>
        <w:rPr/>
      </w:pPr>
      <w:r>
        <w:rPr>
          <w:spacing w:val="-1"/>
        </w:rPr>
        <w:t>9、爱护和保养好设备，保证设备的正常使用率达到年均98％天以上，承包</w:t>
      </w:r>
      <w:r>
        <w:rPr>
          <w:spacing w:val="-2"/>
        </w:rPr>
        <w:t>期满</w:t>
      </w:r>
      <w:r>
        <w:rPr/>
        <w:t xml:space="preserve"> </w:t>
      </w:r>
      <w:r>
        <w:rPr>
          <w:spacing w:val="-3"/>
        </w:rPr>
        <w:t>后，必须将设备完好无损的交还给我院。一般故障原则上应即报即处理即恢复运行，</w:t>
      </w:r>
      <w:r>
        <w:rPr>
          <w:spacing w:val="15"/>
        </w:rPr>
        <w:t xml:space="preserve"> </w:t>
      </w:r>
      <w:r>
        <w:rPr>
          <w:spacing w:val="-2"/>
        </w:rPr>
        <w:t>较大故障的时间限制</w:t>
      </w:r>
      <w:r>
        <w:rPr>
          <w:spacing w:val="-43"/>
        </w:rPr>
        <w:t xml:space="preserve"> </w:t>
      </w:r>
      <w:r>
        <w:rPr>
          <w:spacing w:val="-2"/>
        </w:rPr>
        <w:t>5</w:t>
      </w:r>
      <w:r>
        <w:rPr>
          <w:spacing w:val="-46"/>
        </w:rPr>
        <w:t xml:space="preserve"> </w:t>
      </w:r>
      <w:r>
        <w:rPr>
          <w:spacing w:val="-2"/>
        </w:rPr>
        <w:t>天内必须恢复正常运行。</w:t>
      </w:r>
    </w:p>
    <w:p>
      <w:pPr>
        <w:pStyle w:val="BodyText"/>
        <w:ind w:left="598"/>
        <w:spacing w:before="238" w:line="221" w:lineRule="auto"/>
        <w:outlineLvl w:val="1"/>
        <w:rPr>
          <w:sz w:val="28"/>
          <w:szCs w:val="28"/>
        </w:rPr>
      </w:pPr>
      <w:r>
        <w:rPr>
          <w:sz w:val="28"/>
          <w:szCs w:val="28"/>
          <w:b/>
          <w:bCs/>
          <w:spacing w:val="-8"/>
        </w:rPr>
        <w:t>四、其他要求</w:t>
      </w:r>
    </w:p>
    <w:p>
      <w:pPr>
        <w:pStyle w:val="BodyText"/>
        <w:spacing w:before="233" w:line="219" w:lineRule="auto"/>
        <w:jc w:val="right"/>
        <w:rPr/>
      </w:pPr>
      <w:r>
        <w:rPr>
          <w:spacing w:val="-6"/>
        </w:rPr>
        <w:t>1、维保公司有责任配合院方接受上级领导部门的监督、检查，提供必须的资料。</w:t>
      </w:r>
    </w:p>
    <w:p>
      <w:pPr>
        <w:pStyle w:val="BodyText"/>
        <w:ind w:left="491"/>
        <w:spacing w:before="183" w:line="219" w:lineRule="auto"/>
        <w:rPr/>
      </w:pPr>
      <w:r>
        <w:rPr/>
        <w:t>2、服务期内，维保公司不得将本项目的管理</w:t>
      </w:r>
      <w:r>
        <w:rPr>
          <w:spacing w:val="-1"/>
        </w:rPr>
        <w:t>权以任何形式进行转包或分包。</w:t>
      </w:r>
    </w:p>
    <w:p>
      <w:pPr>
        <w:pStyle w:val="BodyText"/>
        <w:ind w:left="10" w:right="80" w:firstLine="482"/>
        <w:spacing w:before="183" w:line="290" w:lineRule="auto"/>
        <w:rPr/>
      </w:pPr>
      <w:r>
        <w:rPr>
          <w:spacing w:val="-1"/>
        </w:rPr>
        <w:t>3、院方对维保公司在合同范围内开展的服务工作提供所需水、</w:t>
      </w:r>
      <w:r>
        <w:rPr>
          <w:spacing w:val="-2"/>
        </w:rPr>
        <w:t>电的接驳点，费</w:t>
      </w:r>
      <w:r>
        <w:rPr/>
        <w:t xml:space="preserve"> </w:t>
      </w:r>
      <w:r>
        <w:rPr>
          <w:spacing w:val="-2"/>
        </w:rPr>
        <w:t>用由院方支付。</w:t>
      </w:r>
    </w:p>
    <w:p>
      <w:pPr>
        <w:pStyle w:val="BodyText"/>
        <w:ind w:left="10" w:right="80" w:firstLine="477"/>
        <w:spacing w:before="184" w:line="289" w:lineRule="auto"/>
        <w:rPr/>
      </w:pPr>
      <w:r>
        <w:rPr>
          <w:spacing w:val="-1"/>
        </w:rPr>
        <w:t>4、维保公司必须为其驻点或者维保人员按照法律法规办理签订劳动合同、购买</w:t>
      </w:r>
      <w:r>
        <w:rPr/>
        <w:t xml:space="preserve"> </w:t>
      </w:r>
      <w:r>
        <w:rPr>
          <w:spacing w:val="-1"/>
        </w:rPr>
        <w:t>社会保险、意外险等相关手续并配备必要的工作装备；</w:t>
      </w:r>
    </w:p>
    <w:p>
      <w:pPr>
        <w:pStyle w:val="BodyText"/>
        <w:ind w:left="8" w:right="80" w:firstLine="484"/>
        <w:spacing w:before="184" w:line="313" w:lineRule="auto"/>
        <w:rPr/>
      </w:pPr>
      <w:r>
        <w:rPr>
          <w:spacing w:val="-1"/>
        </w:rPr>
        <w:t>5、维保公司必须对其驻点人员按时发放工资、补贴等合理报酬</w:t>
      </w:r>
      <w:r>
        <w:rPr>
          <w:spacing w:val="-2"/>
        </w:rPr>
        <w:t>，不得以任何理</w:t>
      </w:r>
      <w:r>
        <w:rPr/>
        <w:t xml:space="preserve"> </w:t>
      </w:r>
      <w:r>
        <w:rPr/>
        <w:t>由拖欠、扣减服务人员的应得报酬，如因此造成服务质量</w:t>
      </w:r>
      <w:r>
        <w:rPr>
          <w:spacing w:val="-1"/>
        </w:rPr>
        <w:t>下降导致的质量和安全问</w:t>
      </w:r>
      <w:r>
        <w:rPr/>
        <w:t xml:space="preserve"> </w:t>
      </w:r>
      <w:r>
        <w:rPr>
          <w:spacing w:val="-2"/>
        </w:rPr>
        <w:t>题由维保公司负责。</w:t>
      </w:r>
    </w:p>
    <w:p>
      <w:pPr>
        <w:pStyle w:val="BodyText"/>
        <w:ind w:left="11" w:right="80" w:firstLine="479"/>
        <w:spacing w:before="182" w:line="290" w:lineRule="auto"/>
        <w:rPr/>
      </w:pPr>
      <w:r>
        <w:rPr>
          <w:spacing w:val="-1"/>
        </w:rPr>
        <w:t>6、现场驻点人员必须服从院方安排，遵守院方的规章制度，爱护院方</w:t>
      </w:r>
      <w:r>
        <w:rPr>
          <w:spacing w:val="-2"/>
        </w:rPr>
        <w:t>的设施设</w:t>
      </w:r>
      <w:r>
        <w:rPr/>
        <w:t xml:space="preserve"> </w:t>
      </w:r>
      <w:r>
        <w:rPr>
          <w:spacing w:val="-1"/>
        </w:rPr>
        <w:t>备，注意个人形象，禁止谈论任何与患者病情有关的事宜。</w:t>
      </w:r>
    </w:p>
    <w:p>
      <w:pPr>
        <w:pStyle w:val="BodyText"/>
        <w:ind w:left="11" w:right="80" w:firstLine="482"/>
        <w:spacing w:before="182" w:line="290" w:lineRule="auto"/>
        <w:rPr/>
      </w:pPr>
      <w:r>
        <w:rPr>
          <w:spacing w:val="-1"/>
        </w:rPr>
        <w:t>7、维保公司根据设备的运行情况、零部件使用情况、易损件</w:t>
      </w:r>
      <w:r>
        <w:rPr>
          <w:spacing w:val="-2"/>
        </w:rPr>
        <w:t>的更换情况及设备</w:t>
      </w:r>
      <w:r>
        <w:rPr/>
        <w:t xml:space="preserve"> </w:t>
      </w:r>
      <w:r>
        <w:rPr>
          <w:spacing w:val="-1"/>
        </w:rPr>
        <w:t>更换修理需求向院方提出合理化建议。</w:t>
      </w:r>
    </w:p>
    <w:p>
      <w:pPr>
        <w:pStyle w:val="BodyText"/>
        <w:spacing w:before="183" w:line="219" w:lineRule="auto"/>
        <w:jc w:val="right"/>
        <w:rPr/>
      </w:pPr>
      <w:r>
        <w:rPr>
          <w:spacing w:val="-6"/>
        </w:rPr>
        <w:t>8、维保公司对所维保的设备的安全运行负责，保障设备整机及零部件完整无损。</w:t>
      </w:r>
    </w:p>
    <w:p>
      <w:pPr>
        <w:spacing w:line="219" w:lineRule="auto"/>
        <w:sectPr>
          <w:headerReference w:type="default" r:id="rId1"/>
          <w:footerReference w:type="default" r:id="rId5"/>
          <w:pgSz w:w="11906" w:h="16839"/>
          <w:pgMar w:top="1151" w:right="1505" w:bottom="1156" w:left="1587" w:header="863" w:footer="994" w:gutter="0"/>
        </w:sectPr>
        <w:rPr/>
      </w:pPr>
    </w:p>
    <w:p>
      <w:pPr>
        <w:spacing w:line="300" w:lineRule="auto"/>
        <w:rPr>
          <w:rFonts w:ascii="Arial"/>
          <w:sz w:val="21"/>
        </w:rPr>
      </w:pPr>
      <w:r/>
    </w:p>
    <w:p>
      <w:pPr>
        <w:pStyle w:val="BodyText"/>
        <w:ind w:left="12" w:right="92"/>
        <w:spacing w:before="78" w:line="347" w:lineRule="auto"/>
        <w:rPr/>
      </w:pPr>
      <w:r>
        <w:rPr/>
        <w:t>如因维保公司维保不力而造成设备损失或人身损</w:t>
      </w:r>
      <w:r>
        <w:rPr>
          <w:spacing w:val="-1"/>
        </w:rPr>
        <w:t>伤，造成的经济损失和法律责任由</w:t>
      </w:r>
      <w:r>
        <w:rPr/>
        <w:t xml:space="preserve"> </w:t>
      </w:r>
      <w:r>
        <w:rPr>
          <w:spacing w:val="-2"/>
        </w:rPr>
        <w:t>维保公司承担。</w:t>
      </w:r>
    </w:p>
    <w:p>
      <w:pPr>
        <w:pStyle w:val="BodyText"/>
        <w:ind w:left="489"/>
        <w:spacing w:before="34" w:line="219" w:lineRule="auto"/>
        <w:rPr/>
      </w:pPr>
      <w:r>
        <w:rPr>
          <w:spacing w:val="-1"/>
        </w:rPr>
        <w:t>9、维保公司每次现场作业后及时做好清场工作。</w:t>
      </w:r>
    </w:p>
    <w:sectPr>
      <w:headerReference w:type="default" r:id="rId6"/>
      <w:footerReference w:type="default" r:id="rId7"/>
      <w:pgSz w:w="11906" w:h="16839"/>
      <w:pgMar w:top="1151" w:right="1586" w:bottom="1156" w:left="1587" w:header="863" w:footer="99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4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2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2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2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
      <w:spacing w:before="18" w:line="228" w:lineRule="auto"/>
      <w:rPr>
        <w:sz w:val="20"/>
        <w:szCs w:val="20"/>
      </w:rPr>
    </w:pPr>
    <w:r>
      <w:pict>
        <v:shape id="_x0000_s2" style="position:absolute;margin-left:79.35pt;margin-top:56.15pt;mso-position-vertical-relative:page;mso-position-horizontal-relative:page;width:436.65pt;height:0.5pt;z-index:251658240;" o:allowincell="f" fillcolor="#000000" filled="true" stroked="false" coordsize="8732,10" coordorigin="0,0" path="m,l8732,0l8732,9l0,9l0,0xe"/>
      </w:pict>
    </w:r>
    <w:r>
      <w:rPr>
        <w:sz w:val="20"/>
        <w:szCs w:val="20"/>
        <w:b/>
        <w:bCs/>
        <w:spacing w:val="6"/>
      </w:rPr>
      <w:t>海南政源招标代理有限公司</w:t>
    </w:r>
    <w:r>
      <w:rPr>
        <w:sz w:val="20"/>
        <w:szCs w:val="20"/>
        <w:spacing w:val="6"/>
      </w:rPr>
      <w:t xml:space="preserve">                                          </w:t>
    </w:r>
    <w:r>
      <w:rPr>
        <w:sz w:val="20"/>
        <w:szCs w:val="20"/>
        <w:b/>
        <w:bCs/>
      </w:rPr>
      <w:t>HNZY</w:t>
    </w:r>
    <w:r>
      <w:rPr>
        <w:sz w:val="20"/>
        <w:szCs w:val="20"/>
        <w:b/>
        <w:bCs/>
        <w:spacing w:val="6"/>
      </w:rPr>
      <w:t>2024-</w:t>
    </w:r>
    <w:r>
      <w:rPr>
        <w:sz w:val="20"/>
        <w:szCs w:val="20"/>
        <w:b/>
        <w:bCs/>
        <w:spacing w:val="5"/>
      </w:rPr>
      <w:t>093</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
      <w:spacing w:before="18" w:line="228" w:lineRule="auto"/>
      <w:rPr>
        <w:sz w:val="20"/>
        <w:szCs w:val="20"/>
      </w:rPr>
    </w:pPr>
    <w:r>
      <w:pict>
        <v:shape id="_x0000_s4" style="position:absolute;margin-left:79.35pt;margin-top:56.15pt;mso-position-vertical-relative:page;mso-position-horizontal-relative:page;width:436.65pt;height:0.5pt;z-index:251659264;" o:allowincell="f" fillcolor="#000000" filled="true" stroked="false" coordsize="8732,10" coordorigin="0,0" path="m,l8732,0l8732,9l0,9l0,0xe"/>
      </w:pict>
    </w:r>
    <w:r>
      <w:rPr>
        <w:sz w:val="20"/>
        <w:szCs w:val="20"/>
        <w:b/>
        <w:bCs/>
        <w:spacing w:val="6"/>
      </w:rPr>
      <w:t>海南政源招标代理有限公司</w:t>
    </w:r>
    <w:r>
      <w:rPr>
        <w:sz w:val="20"/>
        <w:szCs w:val="20"/>
        <w:spacing w:val="6"/>
      </w:rPr>
      <w:t xml:space="preserve">                                          </w:t>
    </w:r>
    <w:r>
      <w:rPr>
        <w:sz w:val="20"/>
        <w:szCs w:val="20"/>
        <w:b/>
        <w:bCs/>
      </w:rPr>
      <w:t>HNZY</w:t>
    </w:r>
    <w:r>
      <w:rPr>
        <w:sz w:val="20"/>
        <w:szCs w:val="20"/>
        <w:b/>
        <w:bCs/>
        <w:spacing w:val="6"/>
      </w:rPr>
      <w:t>2024-</w:t>
    </w:r>
    <w:r>
      <w:rPr>
        <w:sz w:val="20"/>
        <w:szCs w:val="20"/>
        <w:b/>
        <w:bCs/>
        <w:spacing w:val="5"/>
      </w:rPr>
      <w:t>093</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
      <w:spacing w:before="18" w:line="228" w:lineRule="auto"/>
      <w:rPr>
        <w:sz w:val="20"/>
        <w:szCs w:val="20"/>
      </w:rPr>
    </w:pPr>
    <w:r>
      <w:pict>
        <v:shape id="_x0000_s6" style="position:absolute;margin-left:79.35pt;margin-top:56.15pt;mso-position-vertical-relative:page;mso-position-horizontal-relative:page;width:436.65pt;height:0.5pt;z-index:251661312;" o:allowincell="f" fillcolor="#000000" filled="true" stroked="false" coordsize="8732,10" coordorigin="0,0" path="m,l8732,0l8732,9l0,9l0,0xe"/>
      </w:pict>
    </w:r>
    <w:r>
      <w:rPr>
        <w:sz w:val="20"/>
        <w:szCs w:val="20"/>
        <w:b/>
        <w:bCs/>
        <w:spacing w:val="6"/>
      </w:rPr>
      <w:t>海南政源招标代理有限公司</w:t>
    </w:r>
    <w:r>
      <w:rPr>
        <w:sz w:val="20"/>
        <w:szCs w:val="20"/>
        <w:spacing w:val="6"/>
      </w:rPr>
      <w:t xml:space="preserve">                                          </w:t>
    </w:r>
    <w:r>
      <w:rPr>
        <w:sz w:val="20"/>
        <w:szCs w:val="20"/>
        <w:b/>
        <w:bCs/>
      </w:rPr>
      <w:t>HNZY</w:t>
    </w:r>
    <w:r>
      <w:rPr>
        <w:sz w:val="20"/>
        <w:szCs w:val="20"/>
        <w:b/>
        <w:bCs/>
        <w:spacing w:val="6"/>
      </w:rPr>
      <w:t>2024-</w:t>
    </w:r>
    <w:r>
      <w:rPr>
        <w:sz w:val="20"/>
        <w:szCs w:val="20"/>
        <w:b/>
        <w:bCs/>
        <w:spacing w:val="5"/>
      </w:rPr>
      <w:t>093</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4"/>
      <w:szCs w:val="24"/>
      <w:lang w:val="en-US" w:eastAsia="en-US" w:bidi="ar-SA"/>
    </w:rPr>
  </w:style>
  <w:style w:type="paragraph" w:styleId="TableText">
    <w:name w:val="Table Text"/>
    <w:basedOn w:val="Normal"/>
    <w:semiHidden/>
    <w:qFormat/>
    <w:pPr/>
    <w:rPr>
      <w:rFonts w:ascii="SimSun" w:hAnsi="SimSun" w:eastAsia="SimSun" w:cs="SimSu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styles" Target="styles.xml"/><Relationship Id="rId8" Type="http://schemas.openxmlformats.org/officeDocument/2006/relationships/settings" Target="settings.xml"/><Relationship Id="rId7" Type="http://schemas.openxmlformats.org/officeDocument/2006/relationships/footer" Target="footer4.xml"/><Relationship Id="rId6" Type="http://schemas.openxmlformats.org/officeDocument/2006/relationships/header" Target="header3.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header" Target="header2.xml"/><Relationship Id="rId2" Type="http://schemas.openxmlformats.org/officeDocument/2006/relationships/footer" Target="footer1.xml"/><Relationship Id="rId10" Type="http://schemas.openxmlformats.org/officeDocument/2006/relationships/fontTable" Target="fontTable.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岤岤</dc:creator>
  <dcterms:created xsi:type="dcterms:W3CDTF">2024-07-17T16:39:06Z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2024-07-19T08:13:22</vt:filetime>
  </property>
</Properties>
</file>